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RCT Transition Plan: From Ecological Findings to Pilot and Randomized Controlled Trials</w:t>
      </w:r>
    </w:p>
    <w:p>
      <w:r>
        <w:t>Prepared for: [Institution / PI / Contact]</w:t>
        <w:br/>
        <w:t>Date: 2025-08-09</w:t>
        <w:br/>
        <w:t>This document outlines the pathway to move from ecological and cohort findings to pilot interventional studies and definitive RCTs for microbiome-informed therapies in T2DM and TB.</w:t>
      </w:r>
    </w:p>
    <w:p>
      <w:pPr>
        <w:pStyle w:val="Heading2"/>
      </w:pPr>
      <w:r>
        <w:t>1. Rationale for RCTs</w:t>
      </w:r>
    </w:p>
    <w:p>
      <w:r>
        <w:t>Ecological and cohort analyses identify candidate microbial taxa, metabolites, and host gene signatures associated with disease outcomes. RCTs are required to establish causality and evaluate efficacy of microbiome-targeted interventions (e.g., probiotics, prebiotics, defined microbial consortia, metabolite supplementation, or FMT derivatives).</w:t>
      </w:r>
    </w:p>
    <w:p>
      <w:pPr>
        <w:pStyle w:val="Heading2"/>
      </w:pPr>
      <w:r>
        <w:t>2. Preclinical and Regulatory Requirements</w:t>
      </w:r>
    </w:p>
    <w:p>
      <w:r>
        <w:t>• Compile preclinical safety and mechanism data (in vitro, ex vivo, and animal models).</w:t>
      </w:r>
    </w:p>
    <w:p>
      <w:r>
        <w:t>• Engage Institutional TTO for IP considerations and DCGI/CTRI for regulatory pathway. For live biotherapeutics or FMT derivatives, follow DCGI guidance and obtain necessary approvals.</w:t>
      </w:r>
    </w:p>
    <w:p>
      <w:r>
        <w:t>• GMP manufacturing requirement for microbial products; outline contract manufacturing organization (CMO) options.</w:t>
      </w:r>
    </w:p>
    <w:p>
      <w:pPr>
        <w:pStyle w:val="Heading2"/>
      </w:pPr>
      <w:r>
        <w:t>3. Pilot Study Design</w:t>
      </w:r>
    </w:p>
    <w:p>
      <w:r>
        <w:t>• Objectives: Safety, feasibility, and biological signal (changes in microbiome and host transcriptomics).</w:t>
      </w:r>
    </w:p>
    <w:p>
      <w:r>
        <w:t>• Design: Randomized, placebo-controlled or open-label depending on intervention; small sample size (n=30–100) to assess safety and biological endpoints.</w:t>
      </w:r>
    </w:p>
    <w:p>
      <w:r>
        <w:t>• Endpoints: Safety/tolerability, microbiome shifts, changes in host gene-expression biomarkers, and preliminary clinical signals (e.g., HbA1c change in T2DM; sputum conversion in TB).</w:t>
      </w:r>
    </w:p>
    <w:p>
      <w:pPr>
        <w:pStyle w:val="Heading2"/>
      </w:pPr>
      <w:r>
        <w:t>4. Definitive RCT Design Considerations</w:t>
      </w:r>
    </w:p>
    <w:p>
      <w:r>
        <w:t>• Sample size: powered on primary clinical endpoints informed by pilot effect sizes. For T2DM, primary endpoint could be change in HbA1c at 6 months. For TB, primary endpoint could be treatment success/relapse rate at 12 months post-treatment.</w:t>
      </w:r>
    </w:p>
    <w:p>
      <w:r>
        <w:t>• Randomization, blinding, stratification (by baseline microbiome signature), and allocation concealment details to be specified in full protocol.</w:t>
      </w:r>
    </w:p>
    <w:p>
      <w:r>
        <w:t>• Data Safety Monitoring Board (DSMB) to oversee safety; interim analyses planned for efficacy/safety stopping rules.</w:t>
      </w:r>
    </w:p>
    <w:p>
      <w:pPr>
        <w:pStyle w:val="Heading2"/>
      </w:pPr>
      <w:r>
        <w:t>5. Operational &amp; Logistical Considerations</w:t>
      </w:r>
    </w:p>
    <w:p>
      <w:r>
        <w:t>• Site selection based on ecological hotspots and cohort findings; ensure laboratory and cold-chain capacity.</w:t>
      </w:r>
    </w:p>
    <w:p>
      <w:r>
        <w:t>• Training materials, SOPs, and monitoring plans for sites; central lab for sequencing and standardized bioinformatics pipelines.</w:t>
      </w:r>
    </w:p>
    <w:p>
      <w:r>
        <w:t>• Data management plan, eCRFs, and trial registration in CTRI prior to enrollment.</w:t>
      </w:r>
    </w:p>
    <w:p>
      <w:pPr>
        <w:pStyle w:val="Heading2"/>
      </w:pPr>
      <w:r>
        <w:t>6. Ethical &amp; Community Considerations</w:t>
      </w:r>
    </w:p>
    <w:p>
      <w:r>
        <w:t>• Community engagement and informed consent processes, especially for interventions involving live organisms or donor-derived materials (FMT).</w:t>
      </w:r>
    </w:p>
    <w:p>
      <w:r>
        <w:t>• Plans for adverse event reporting, management, and compensation per Indian regulations.</w:t>
      </w:r>
    </w:p>
    <w:p>
      <w:pPr>
        <w:pStyle w:val="Heading2"/>
      </w:pPr>
      <w:r>
        <w:t>7. Timeline &amp; Milestones</w:t>
      </w:r>
    </w:p>
    <w:p>
      <w:r>
        <w:t>• Months 0–6: Preclinical work and pilot study protocol development; regulatory engagement and GMP sourcing.</w:t>
      </w:r>
    </w:p>
    <w:p>
      <w:r>
        <w:t>• Months 6–18: Pilot trial execution and analysis.</w:t>
      </w:r>
    </w:p>
    <w:p>
      <w:r>
        <w:t>• Months 18–36: Definitive RCT planning and execution pending pilot results and funding.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