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4EBD" w14:textId="19DB0546" w:rsidR="003736F9" w:rsidRDefault="003736F9">
      <w:pPr>
        <w:pStyle w:val="NormalWeb"/>
      </w:pPr>
    </w:p>
    <w:p w14:paraId="1D7B862C" w14:textId="77777777" w:rsidR="003736F9" w:rsidRDefault="003736F9">
      <w:pPr>
        <w:pStyle w:val="Heading1"/>
        <w:rPr>
          <w:rFonts w:eastAsia="Times New Roman"/>
        </w:rPr>
      </w:pPr>
      <w:r>
        <w:rPr>
          <w:rFonts w:eastAsia="Times New Roman"/>
        </w:rPr>
        <w:t>Where India stands now (snapshot)</w:t>
      </w:r>
    </w:p>
    <w:p w14:paraId="26D713D6" w14:textId="77777777" w:rsidR="003736F9" w:rsidRDefault="003736F9" w:rsidP="00373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Burden &amp; trend:</w:t>
      </w:r>
      <w:r>
        <w:rPr>
          <w:rFonts w:eastAsia="Times New Roman"/>
        </w:rPr>
        <w:t xml:space="preserve"> India still accounts for ~</w:t>
      </w:r>
      <w:r>
        <w:rPr>
          <w:rStyle w:val="Strong"/>
          <w:rFonts w:eastAsia="Times New Roman"/>
        </w:rPr>
        <w:t>one-quarter</w:t>
      </w:r>
      <w:r>
        <w:rPr>
          <w:rFonts w:eastAsia="Times New Roman"/>
        </w:rPr>
        <w:t xml:space="preserve"> of global TB. Incidence has fallen ~</w:t>
      </w:r>
      <w:r>
        <w:rPr>
          <w:rStyle w:val="Strong"/>
          <w:rFonts w:eastAsia="Times New Roman"/>
        </w:rPr>
        <w:t>18% since 2015</w:t>
      </w:r>
      <w:r>
        <w:rPr>
          <w:rFonts w:eastAsia="Times New Roman"/>
        </w:rPr>
        <w:t>; TB deaths down ~</w:t>
      </w:r>
      <w:r>
        <w:rPr>
          <w:rStyle w:val="Strong"/>
          <w:rFonts w:eastAsia="Times New Roman"/>
        </w:rPr>
        <w:t>24%</w:t>
      </w:r>
      <w:r>
        <w:rPr>
          <w:rFonts w:eastAsia="Times New Roman"/>
        </w:rPr>
        <w:t xml:space="preserve"> (to 2023). Progress resumed post-COVID but the 2025 “elimination” target (incidence &lt;1/100,000) is not on track. </w:t>
      </w:r>
    </w:p>
    <w:p w14:paraId="2420C805" w14:textId="77777777" w:rsidR="003736F9" w:rsidRDefault="003736F9" w:rsidP="00373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Drug-resistant TB:</w:t>
      </w:r>
      <w:r>
        <w:rPr>
          <w:rFonts w:eastAsia="Times New Roman"/>
        </w:rPr>
        <w:t xml:space="preserve"> WHO South-East Asia’s MDR/RR-TB numbers stabilized in 2023; India is rolling out </w:t>
      </w:r>
      <w:r>
        <w:rPr>
          <w:rStyle w:val="Strong"/>
          <w:rFonts w:eastAsia="Times New Roman"/>
        </w:rPr>
        <w:t xml:space="preserve">6-month </w:t>
      </w:r>
      <w:proofErr w:type="spellStart"/>
      <w:r>
        <w:rPr>
          <w:rStyle w:val="Strong"/>
          <w:rFonts w:eastAsia="Times New Roman"/>
        </w:rPr>
        <w:t>BPaLM</w:t>
      </w:r>
      <w:proofErr w:type="spellEnd"/>
      <w:r>
        <w:rPr>
          <w:rFonts w:eastAsia="Times New Roman"/>
        </w:rPr>
        <w:t xml:space="preserve"> nationally (</w:t>
      </w:r>
      <w:proofErr w:type="spellStart"/>
      <w:r>
        <w:rPr>
          <w:rFonts w:eastAsia="Times New Roman"/>
        </w:rPr>
        <w:t>bedaquiline-pretomanid-linezolid±moxifloxacin</w:t>
      </w:r>
      <w:proofErr w:type="spellEnd"/>
      <w:r>
        <w:rPr>
          <w:rFonts w:eastAsia="Times New Roman"/>
        </w:rPr>
        <w:t xml:space="preserve">) with 2025 national DR-TB guidelines in force; early programme use is growing but uneven. </w:t>
      </w:r>
    </w:p>
    <w:p w14:paraId="18A6220A" w14:textId="77777777" w:rsidR="003736F9" w:rsidRDefault="003736F9" w:rsidP="00373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Prevention:</w:t>
      </w:r>
      <w:r>
        <w:rPr>
          <w:rFonts w:eastAsia="Times New Roman"/>
        </w:rPr>
        <w:t xml:space="preserve"> India has national </w:t>
      </w:r>
      <w:r>
        <w:rPr>
          <w:rStyle w:val="Strong"/>
          <w:rFonts w:eastAsia="Times New Roman"/>
        </w:rPr>
        <w:t>TPT guidelines</w:t>
      </w:r>
      <w:r>
        <w:rPr>
          <w:rFonts w:eastAsia="Times New Roman"/>
        </w:rPr>
        <w:t xml:space="preserve"> (household contacts, PLHIV, etc.) and is moving toward </w:t>
      </w:r>
      <w:r>
        <w:rPr>
          <w:rStyle w:val="Strong"/>
          <w:rFonts w:eastAsia="Times New Roman"/>
        </w:rPr>
        <w:t>short-course 3HP/1HP</w:t>
      </w:r>
      <w:r>
        <w:rPr>
          <w:rFonts w:eastAsia="Times New Roman"/>
        </w:rPr>
        <w:t xml:space="preserve"> where </w:t>
      </w:r>
      <w:proofErr w:type="spellStart"/>
      <w:r>
        <w:rPr>
          <w:rFonts w:eastAsia="Times New Roman"/>
        </w:rPr>
        <w:t>rifapentine</w:t>
      </w:r>
      <w:proofErr w:type="spellEnd"/>
      <w:r>
        <w:rPr>
          <w:rFonts w:eastAsia="Times New Roman"/>
        </w:rPr>
        <w:t xml:space="preserve"> access allows, but implementation gaps persist. </w:t>
      </w:r>
    </w:p>
    <w:p w14:paraId="38749248" w14:textId="77777777" w:rsidR="003736F9" w:rsidRDefault="003736F9" w:rsidP="00373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Social protection: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Ni-</w:t>
      </w:r>
      <w:proofErr w:type="spellStart"/>
      <w:r>
        <w:rPr>
          <w:rStyle w:val="Strong"/>
          <w:rFonts w:eastAsia="Times New Roman"/>
        </w:rPr>
        <w:t>kshay</w:t>
      </w:r>
      <w:proofErr w:type="spellEnd"/>
      <w:r>
        <w:rPr>
          <w:rStyle w:val="Strong"/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Poshan</w:t>
      </w:r>
      <w:proofErr w:type="spellEnd"/>
      <w:r>
        <w:rPr>
          <w:rStyle w:val="Strong"/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Yojana</w:t>
      </w:r>
      <w:proofErr w:type="spellEnd"/>
      <w:r>
        <w:rPr>
          <w:rStyle w:val="Strong"/>
          <w:rFonts w:eastAsia="Times New Roman"/>
        </w:rPr>
        <w:t xml:space="preserve"> (₹500/month)</w:t>
      </w:r>
      <w:r>
        <w:rPr>
          <w:rFonts w:eastAsia="Times New Roman"/>
        </w:rPr>
        <w:t xml:space="preserve"> is nationwide; evaluations report </w:t>
      </w:r>
      <w:r>
        <w:rPr>
          <w:rStyle w:val="Strong"/>
          <w:rFonts w:eastAsia="Times New Roman"/>
        </w:rPr>
        <w:t>coverage gaps and delays</w:t>
      </w:r>
      <w:r>
        <w:rPr>
          <w:rFonts w:eastAsia="Times New Roman"/>
        </w:rPr>
        <w:t xml:space="preserve">; revisions in 2024–25 aim to strengthen delivery. Catastrophic costs remain high for many households. </w:t>
      </w:r>
    </w:p>
    <w:p w14:paraId="6B1C93EB" w14:textId="77777777" w:rsidR="003736F9" w:rsidRDefault="003736F9" w:rsidP="003736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Pipeline: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M72/AS01E TB vaccine</w:t>
      </w:r>
      <w:r>
        <w:rPr>
          <w:rFonts w:eastAsia="Times New Roman"/>
        </w:rPr>
        <w:t xml:space="preserve"> entered Phase-3 in 2024; recruitment completed across Africa &amp; SE Asia (not India), results pending. </w:t>
      </w:r>
    </w:p>
    <w:p w14:paraId="42638E50" w14:textId="77777777" w:rsidR="003736F9" w:rsidRDefault="003736F9">
      <w:pPr>
        <w:pStyle w:val="Heading1"/>
        <w:rPr>
          <w:rFonts w:eastAsia="Times New Roman"/>
        </w:rPr>
      </w:pPr>
      <w:r>
        <w:rPr>
          <w:rFonts w:eastAsia="Times New Roman"/>
        </w:rPr>
        <w:t>Burning problems (actionable)</w:t>
      </w:r>
    </w:p>
    <w:p w14:paraId="00577B24" w14:textId="77777777" w:rsidR="003736F9" w:rsidRDefault="003736F9" w:rsidP="0037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“Missing” cases, esp. in the private sector</w:t>
      </w:r>
      <w:r>
        <w:rPr>
          <w:rFonts w:eastAsia="Times New Roman"/>
        </w:rPr>
        <w:t xml:space="preserve"> (large care share but variable notification; quality and standards inconsistent). </w:t>
      </w:r>
    </w:p>
    <w:p w14:paraId="371BD305" w14:textId="77777777" w:rsidR="003736F9" w:rsidRDefault="003736F9" w:rsidP="0037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Uneven </w:t>
      </w:r>
      <w:proofErr w:type="spellStart"/>
      <w:r>
        <w:rPr>
          <w:rStyle w:val="Strong"/>
          <w:rFonts w:eastAsia="Times New Roman"/>
        </w:rPr>
        <w:t>BPaLM</w:t>
      </w:r>
      <w:proofErr w:type="spellEnd"/>
      <w:r>
        <w:rPr>
          <w:rStyle w:val="Strong"/>
          <w:rFonts w:eastAsia="Times New Roman"/>
        </w:rPr>
        <w:t xml:space="preserve"> uptake &amp; safety monitoring</w:t>
      </w:r>
      <w:r>
        <w:rPr>
          <w:rFonts w:eastAsia="Times New Roman"/>
        </w:rPr>
        <w:t xml:space="preserve"> (linezolid toxicity monitoring, eligibility screening, pharmacovigilance capacity). </w:t>
      </w:r>
    </w:p>
    <w:p w14:paraId="417B3079" w14:textId="77777777" w:rsidR="003736F9" w:rsidRDefault="003736F9" w:rsidP="0037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DST (drug-susceptibility testing) for the right drugs at the right time</w:t>
      </w:r>
      <w:r>
        <w:rPr>
          <w:rFonts w:eastAsia="Times New Roman"/>
        </w:rPr>
        <w:t xml:space="preserve">—coverage and timeliness for </w:t>
      </w:r>
      <w:proofErr w:type="spellStart"/>
      <w:r>
        <w:rPr>
          <w:rFonts w:eastAsia="Times New Roman"/>
        </w:rPr>
        <w:t>fluoroquinolones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bedaquiline</w:t>
      </w:r>
      <w:proofErr w:type="spellEnd"/>
      <w:r>
        <w:rPr>
          <w:rFonts w:eastAsia="Times New Roman"/>
        </w:rPr>
        <w:t xml:space="preserve">, and </w:t>
      </w:r>
      <w:proofErr w:type="spellStart"/>
      <w:r>
        <w:rPr>
          <w:rFonts w:eastAsia="Times New Roman"/>
        </w:rPr>
        <w:t>rifapentine</w:t>
      </w:r>
      <w:proofErr w:type="spellEnd"/>
      <w:r>
        <w:rPr>
          <w:rFonts w:eastAsia="Times New Roman"/>
        </w:rPr>
        <w:t xml:space="preserve"> remain patchy. </w:t>
      </w:r>
    </w:p>
    <w:p w14:paraId="2DFF6906" w14:textId="77777777" w:rsidR="003736F9" w:rsidRDefault="003736F9" w:rsidP="0037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TPT scale-up barriers</w:t>
      </w:r>
      <w:r>
        <w:rPr>
          <w:rFonts w:eastAsia="Times New Roman"/>
        </w:rPr>
        <w:t>—</w:t>
      </w:r>
      <w:proofErr w:type="spellStart"/>
      <w:r>
        <w:rPr>
          <w:rFonts w:eastAsia="Times New Roman"/>
        </w:rPr>
        <w:t>rifapentine</w:t>
      </w:r>
      <w:proofErr w:type="spellEnd"/>
      <w:r>
        <w:rPr>
          <w:rFonts w:eastAsia="Times New Roman"/>
        </w:rPr>
        <w:t xml:space="preserve"> availability, regimen choice (3HP vs 6H), operational delivery to contacts and high-risk groups. </w:t>
      </w:r>
    </w:p>
    <w:p w14:paraId="3A6CE791" w14:textId="77777777" w:rsidR="003736F9" w:rsidRDefault="003736F9" w:rsidP="0037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Catastrophic costs &amp; nutrition</w:t>
      </w:r>
      <w:r>
        <w:rPr>
          <w:rFonts w:eastAsia="Times New Roman"/>
        </w:rPr>
        <w:t xml:space="preserve">—cash transfer delays, adequacy of ₹500/month, and leakage threaten adherence. </w:t>
      </w:r>
    </w:p>
    <w:p w14:paraId="7EFC7E16" w14:textId="77777777" w:rsidR="003736F9" w:rsidRDefault="003736F9" w:rsidP="0037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Urban poor, migrants, and closed settings (prisons)</w:t>
      </w:r>
      <w:r>
        <w:rPr>
          <w:rFonts w:eastAsia="Times New Roman"/>
        </w:rPr>
        <w:t xml:space="preserve">—screening continuity and treatment completion remain weak (evidence gap flagged in reviews). </w:t>
      </w:r>
    </w:p>
    <w:p w14:paraId="377E1F15" w14:textId="77777777" w:rsidR="003736F9" w:rsidRDefault="003736F9" w:rsidP="0037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Paediatric &amp; </w:t>
      </w:r>
      <w:proofErr w:type="spellStart"/>
      <w:r>
        <w:rPr>
          <w:rStyle w:val="Strong"/>
          <w:rFonts w:eastAsia="Times New Roman"/>
        </w:rPr>
        <w:t>extrapulmonary</w:t>
      </w:r>
      <w:proofErr w:type="spellEnd"/>
      <w:r>
        <w:rPr>
          <w:rStyle w:val="Strong"/>
          <w:rFonts w:eastAsia="Times New Roman"/>
        </w:rPr>
        <w:t xml:space="preserve"> TB</w:t>
      </w:r>
      <w:r>
        <w:rPr>
          <w:rFonts w:eastAsia="Times New Roman"/>
        </w:rPr>
        <w:t xml:space="preserve">—diagnostic yield and non-sputum pathways lag; AI-CXR pilots exist but are not standardized. </w:t>
      </w:r>
    </w:p>
    <w:p w14:paraId="7C7B43AA" w14:textId="77777777" w:rsidR="003736F9" w:rsidRDefault="003736F9" w:rsidP="0037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Data quality in Ni-</w:t>
      </w:r>
      <w:proofErr w:type="spellStart"/>
      <w:r>
        <w:rPr>
          <w:rStyle w:val="Strong"/>
          <w:rFonts w:eastAsia="Times New Roman"/>
        </w:rPr>
        <w:t>kshay</w:t>
      </w:r>
      <w:proofErr w:type="spellEnd"/>
      <w:r>
        <w:rPr>
          <w:rStyle w:val="Strong"/>
          <w:rFonts w:eastAsia="Times New Roman"/>
        </w:rPr>
        <w:t xml:space="preserve"> &amp; outcome attribution</w:t>
      </w:r>
      <w:r>
        <w:rPr>
          <w:rFonts w:eastAsia="Times New Roman"/>
        </w:rPr>
        <w:t xml:space="preserve">—incomplete contact investigation, deduplication, and delayed DBT linkage. </w:t>
      </w:r>
    </w:p>
    <w:p w14:paraId="1FDFC533" w14:textId="77777777" w:rsidR="003736F9" w:rsidRDefault="003736F9" w:rsidP="0037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Comorbidity integration</w:t>
      </w:r>
      <w:r>
        <w:rPr>
          <w:rFonts w:eastAsia="Times New Roman"/>
        </w:rPr>
        <w:t xml:space="preserve">—diabetes, tobacco use, </w:t>
      </w:r>
      <w:proofErr w:type="spellStart"/>
      <w:r>
        <w:rPr>
          <w:rFonts w:eastAsia="Times New Roman"/>
        </w:rPr>
        <w:t>undernutrition</w:t>
      </w:r>
      <w:proofErr w:type="spellEnd"/>
      <w:r>
        <w:rPr>
          <w:rFonts w:eastAsia="Times New Roman"/>
        </w:rPr>
        <w:t xml:space="preserve">: weak bidirectional screening &amp; tailored adherence support. (Synthesis from India TB Report &amp; reviews.) </w:t>
      </w:r>
    </w:p>
    <w:p w14:paraId="669CF357" w14:textId="77777777" w:rsidR="003736F9" w:rsidRDefault="003736F9" w:rsidP="003736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Supply-chain resilience</w:t>
      </w:r>
      <w:r>
        <w:rPr>
          <w:rFonts w:eastAsia="Times New Roman"/>
        </w:rPr>
        <w:t>—for new/repurposed drugs (</w:t>
      </w:r>
      <w:proofErr w:type="spellStart"/>
      <w:r>
        <w:rPr>
          <w:rFonts w:eastAsia="Times New Roman"/>
        </w:rPr>
        <w:t>pretomanid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rifapentine</w:t>
      </w:r>
      <w:proofErr w:type="spellEnd"/>
      <w:r>
        <w:rPr>
          <w:rFonts w:eastAsia="Times New Roman"/>
        </w:rPr>
        <w:t>) and cartridges; localized stock-outs reported informally; limited published, up-to-date audits (research gap).</w:t>
      </w:r>
    </w:p>
    <w:p w14:paraId="2E304B31" w14:textId="77777777" w:rsidR="003736F9" w:rsidRDefault="003736F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672C4DD" wp14:editId="6BF71797">
                <wp:extent cx="5731510" cy="1270"/>
                <wp:effectExtent l="0" t="31750" r="0" b="36830"/>
                <wp:docPr id="83064273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DF804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DC15093" w14:textId="77777777" w:rsidR="003736F9" w:rsidRDefault="003736F9">
      <w:pPr>
        <w:pStyle w:val="Heading1"/>
        <w:rPr>
          <w:rFonts w:eastAsia="Times New Roman"/>
        </w:rPr>
      </w:pPr>
      <w:r>
        <w:rPr>
          <w:rFonts w:eastAsia="Times New Roman"/>
        </w:rPr>
        <w:t>Research protocols you can field now</w:t>
      </w:r>
    </w:p>
    <w:p w14:paraId="4C3CCC9A" w14:textId="77777777" w:rsidR="003736F9" w:rsidRDefault="003736F9">
      <w:pPr>
        <w:pStyle w:val="NormalWeb"/>
      </w:pPr>
      <w:r>
        <w:t>Each protocol includes PICO, design, sample &amp; outcomes—built for NTEP settings and ethics-ready. Mix them per state context.</w:t>
      </w:r>
    </w:p>
    <w:p w14:paraId="5382086F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t>1) Private-sector notification &amp; quality “nudge-bundle” trial</w:t>
      </w:r>
    </w:p>
    <w:p w14:paraId="3E8A7805" w14:textId="77777777" w:rsidR="003736F9" w:rsidRDefault="003736F9" w:rsidP="0037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Question:</w:t>
      </w:r>
      <w:r>
        <w:rPr>
          <w:rFonts w:eastAsia="Times New Roman"/>
        </w:rPr>
        <w:t xml:space="preserve"> Do combined incentives + e-prescription + pharmacist linkage improve </w:t>
      </w:r>
      <w:r>
        <w:rPr>
          <w:rStyle w:val="Emphasis"/>
          <w:rFonts w:eastAsia="Times New Roman"/>
        </w:rPr>
        <w:t>complete</w:t>
      </w:r>
      <w:r>
        <w:rPr>
          <w:rFonts w:eastAsia="Times New Roman"/>
        </w:rPr>
        <w:t xml:space="preserve"> notification &amp; standard-of-care?</w:t>
      </w:r>
    </w:p>
    <w:p w14:paraId="612B2EA8" w14:textId="77777777" w:rsidR="003736F9" w:rsidRDefault="003736F9" w:rsidP="0037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Population:</w:t>
      </w:r>
      <w:r>
        <w:rPr>
          <w:rFonts w:eastAsia="Times New Roman"/>
        </w:rPr>
        <w:t xml:space="preserve"> Private chest physicians &amp; pharmacies in 12 districts with high private TB load.</w:t>
      </w:r>
    </w:p>
    <w:p w14:paraId="50A9D0E0" w14:textId="77777777" w:rsidR="003736F9" w:rsidRDefault="003736F9" w:rsidP="0037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Intervention:</w:t>
      </w:r>
      <w:r>
        <w:rPr>
          <w:rFonts w:eastAsia="Times New Roman"/>
        </w:rPr>
        <w:t xml:space="preserve"> (a) On-the-spot </w:t>
      </w:r>
      <w:proofErr w:type="spellStart"/>
      <w:r>
        <w:rPr>
          <w:rFonts w:eastAsia="Times New Roman"/>
        </w:rPr>
        <w:t>Nikshay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enrollment</w:t>
      </w:r>
      <w:proofErr w:type="spellEnd"/>
      <w:r>
        <w:rPr>
          <w:rFonts w:eastAsia="Times New Roman"/>
        </w:rPr>
        <w:t xml:space="preserve"> app + (b) pharmacist-triggered lab voucher + (c) quarterly </w:t>
      </w:r>
      <w:proofErr w:type="spellStart"/>
      <w:r>
        <w:rPr>
          <w:rFonts w:eastAsia="Times New Roman"/>
        </w:rPr>
        <w:t>feedback+benchmarking</w:t>
      </w:r>
      <w:proofErr w:type="spellEnd"/>
      <w:r>
        <w:rPr>
          <w:rFonts w:eastAsia="Times New Roman"/>
        </w:rPr>
        <w:t xml:space="preserve"> + (d) guaranteed DBT facilitation for patients + (e) </w:t>
      </w:r>
      <w:proofErr w:type="spellStart"/>
      <w:r>
        <w:rPr>
          <w:rFonts w:eastAsia="Times New Roman"/>
        </w:rPr>
        <w:t>Rs</w:t>
      </w:r>
      <w:proofErr w:type="spellEnd"/>
      <w:r>
        <w:rPr>
          <w:rFonts w:eastAsia="Times New Roman"/>
        </w:rPr>
        <w:t xml:space="preserve"> 1,000 PHCP incentive reminder.</w:t>
      </w:r>
    </w:p>
    <w:p w14:paraId="1DBF0628" w14:textId="77777777" w:rsidR="003736F9" w:rsidRDefault="003736F9" w:rsidP="0037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Control:</w:t>
      </w:r>
      <w:r>
        <w:rPr>
          <w:rFonts w:eastAsia="Times New Roman"/>
        </w:rPr>
        <w:t xml:space="preserve"> Usual NTEP engagement.</w:t>
      </w:r>
    </w:p>
    <w:p w14:paraId="445BEBC5" w14:textId="77777777" w:rsidR="003736F9" w:rsidRDefault="003736F9" w:rsidP="0037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Cluster randomized trial</w:t>
      </w:r>
      <w:r>
        <w:rPr>
          <w:rFonts w:eastAsia="Times New Roman"/>
        </w:rPr>
        <w:t xml:space="preserve"> (district-quarters), 24 clusters, 12-month follow-up.</w:t>
      </w:r>
    </w:p>
    <w:p w14:paraId="1570CA19" w14:textId="77777777" w:rsidR="003736F9" w:rsidRDefault="003736F9" w:rsidP="0037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Primary outcome:</w:t>
      </w:r>
      <w:r>
        <w:rPr>
          <w:rFonts w:eastAsia="Times New Roman"/>
        </w:rPr>
        <w:t xml:space="preserve"> Proportion of microbiologically confirmed TB cases </w:t>
      </w:r>
      <w:r>
        <w:rPr>
          <w:rStyle w:val="Strong"/>
          <w:rFonts w:eastAsia="Times New Roman"/>
        </w:rPr>
        <w:t>notified within 7 days</w:t>
      </w:r>
      <w:r>
        <w:rPr>
          <w:rFonts w:eastAsia="Times New Roman"/>
        </w:rPr>
        <w:t xml:space="preserve"> of diagnosis.</w:t>
      </w:r>
    </w:p>
    <w:p w14:paraId="2305D948" w14:textId="77777777" w:rsidR="003736F9" w:rsidRDefault="003736F9" w:rsidP="0037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Secondary:</w:t>
      </w:r>
      <w:r>
        <w:rPr>
          <w:rFonts w:eastAsia="Times New Roman"/>
        </w:rPr>
        <w:t xml:space="preserve"> DST completion, treatment initiation within 3 days, treatment success, catastrophic cost (WPRO tool).</w:t>
      </w:r>
    </w:p>
    <w:p w14:paraId="326D5B7A" w14:textId="77777777" w:rsidR="003736F9" w:rsidRDefault="003736F9" w:rsidP="0037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Sample:</w:t>
      </w:r>
      <w:r>
        <w:rPr>
          <w:rFonts w:eastAsia="Times New Roman"/>
        </w:rPr>
        <w:t xml:space="preserve"> ~7,200 patients gives 90% power for +10-pp improvement (ICC 0.02).</w:t>
      </w:r>
    </w:p>
    <w:p w14:paraId="285B1344" w14:textId="77777777" w:rsidR="003736F9" w:rsidRDefault="003736F9" w:rsidP="003736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Notes:</w:t>
      </w:r>
      <w:r>
        <w:rPr>
          <w:rFonts w:eastAsia="Times New Roman"/>
        </w:rPr>
        <w:t xml:space="preserve"> Use pharmacy sensitization evidence &amp; notification barriers literature. </w:t>
      </w:r>
    </w:p>
    <w:p w14:paraId="48FED72B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2) </w:t>
      </w:r>
      <w:proofErr w:type="spellStart"/>
      <w:r>
        <w:rPr>
          <w:rFonts w:eastAsia="Times New Roman"/>
        </w:rPr>
        <w:t>BPaLM</w:t>
      </w:r>
      <w:proofErr w:type="spellEnd"/>
      <w:r>
        <w:rPr>
          <w:rFonts w:eastAsia="Times New Roman"/>
        </w:rPr>
        <w:t xml:space="preserve"> implementation + pharmacovigilance (</w:t>
      </w:r>
      <w:proofErr w:type="spellStart"/>
      <w:r>
        <w:rPr>
          <w:rFonts w:eastAsia="Times New Roman"/>
        </w:rPr>
        <w:t>Pv</w:t>
      </w:r>
      <w:proofErr w:type="spellEnd"/>
      <w:r>
        <w:rPr>
          <w:rFonts w:eastAsia="Times New Roman"/>
        </w:rPr>
        <w:t>) hybrid effectiveness study</w:t>
      </w:r>
    </w:p>
    <w:p w14:paraId="739160B0" w14:textId="77777777" w:rsidR="003736F9" w:rsidRDefault="003736F9" w:rsidP="0037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Question:</w:t>
      </w:r>
      <w:r>
        <w:rPr>
          <w:rFonts w:eastAsia="Times New Roman"/>
        </w:rPr>
        <w:t xml:space="preserve"> What are real-world outcomes and AEs of </w:t>
      </w:r>
      <w:proofErr w:type="spellStart"/>
      <w:r>
        <w:rPr>
          <w:rStyle w:val="Strong"/>
          <w:rFonts w:eastAsia="Times New Roman"/>
        </w:rPr>
        <w:t>BPaLM</w:t>
      </w:r>
      <w:proofErr w:type="spellEnd"/>
      <w:r>
        <w:rPr>
          <w:rFonts w:eastAsia="Times New Roman"/>
        </w:rPr>
        <w:t xml:space="preserve"> vs 9–11-month </w:t>
      </w:r>
      <w:proofErr w:type="spellStart"/>
      <w:r>
        <w:rPr>
          <w:rFonts w:eastAsia="Times New Roman"/>
        </w:rPr>
        <w:t>bedaquiline</w:t>
      </w:r>
      <w:proofErr w:type="spellEnd"/>
      <w:r>
        <w:rPr>
          <w:rFonts w:eastAsia="Times New Roman"/>
        </w:rPr>
        <w:t>-containing regimens?</w:t>
      </w:r>
    </w:p>
    <w:p w14:paraId="2B373880" w14:textId="77777777" w:rsidR="003736F9" w:rsidRDefault="003736F9" w:rsidP="0037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Population:</w:t>
      </w:r>
      <w:r>
        <w:rPr>
          <w:rFonts w:eastAsia="Times New Roman"/>
        </w:rPr>
        <w:t xml:space="preserve"> MDR/RR-TB adults eligible per 2025 DR-TB guideline.</w:t>
      </w:r>
    </w:p>
    <w:p w14:paraId="007F4405" w14:textId="77777777" w:rsidR="003736F9" w:rsidRDefault="003736F9" w:rsidP="0037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Type-2 hybrid</w:t>
      </w:r>
      <w:r>
        <w:rPr>
          <w:rFonts w:eastAsia="Times New Roman"/>
        </w:rPr>
        <w:t xml:space="preserve"> (prospective multicentre cohort + stepped </w:t>
      </w:r>
      <w:proofErr w:type="spellStart"/>
      <w:r>
        <w:rPr>
          <w:rFonts w:eastAsia="Times New Roman"/>
        </w:rPr>
        <w:t>Pv</w:t>
      </w:r>
      <w:proofErr w:type="spellEnd"/>
      <w:r>
        <w:rPr>
          <w:rFonts w:eastAsia="Times New Roman"/>
        </w:rPr>
        <w:t xml:space="preserve"> strengthening package: monthly CBC, neuropathy screen, optic check).</w:t>
      </w:r>
    </w:p>
    <w:p w14:paraId="2D612C2A" w14:textId="77777777" w:rsidR="003736F9" w:rsidRDefault="003736F9" w:rsidP="0037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Sites:</w:t>
      </w:r>
      <w:r>
        <w:rPr>
          <w:rFonts w:eastAsia="Times New Roman"/>
        </w:rPr>
        <w:t xml:space="preserve"> 20 DR-TB centres across 8 states.</w:t>
      </w:r>
    </w:p>
    <w:p w14:paraId="03E81184" w14:textId="77777777" w:rsidR="003736F9" w:rsidRDefault="003736F9" w:rsidP="0037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Primary outcome:</w:t>
      </w:r>
      <w:r>
        <w:rPr>
          <w:rFonts w:eastAsia="Times New Roman"/>
        </w:rPr>
        <w:t xml:space="preserve"> Treatment success at 12 months post-start.</w:t>
      </w:r>
    </w:p>
    <w:p w14:paraId="78F4B427" w14:textId="77777777" w:rsidR="003736F9" w:rsidRDefault="003736F9" w:rsidP="0037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Safety endpoints:</w:t>
      </w:r>
      <w:r>
        <w:rPr>
          <w:rFonts w:eastAsia="Times New Roman"/>
        </w:rPr>
        <w:t xml:space="preserve"> Grade 3–4 </w:t>
      </w:r>
      <w:proofErr w:type="spellStart"/>
      <w:r>
        <w:rPr>
          <w:rFonts w:eastAsia="Times New Roman"/>
        </w:rPr>
        <w:t>anemia</w:t>
      </w:r>
      <w:proofErr w:type="spellEnd"/>
      <w:r>
        <w:rPr>
          <w:rFonts w:eastAsia="Times New Roman"/>
        </w:rPr>
        <w:t>/thrombocytopenia, peripheral/optic neuropathy, hepatotoxicity.</w:t>
      </w:r>
    </w:p>
    <w:p w14:paraId="5EB03164" w14:textId="77777777" w:rsidR="003736F9" w:rsidRDefault="003736F9" w:rsidP="0037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Sample:</w:t>
      </w:r>
      <w:r>
        <w:rPr>
          <w:rFonts w:eastAsia="Times New Roman"/>
        </w:rPr>
        <w:t xml:space="preserve"> 2,000 </w:t>
      </w:r>
      <w:proofErr w:type="spellStart"/>
      <w:r>
        <w:rPr>
          <w:rFonts w:eastAsia="Times New Roman"/>
        </w:rPr>
        <w:t>BPaLM</w:t>
      </w:r>
      <w:proofErr w:type="spellEnd"/>
      <w:r>
        <w:rPr>
          <w:rFonts w:eastAsia="Times New Roman"/>
        </w:rPr>
        <w:t xml:space="preserve"> vs 2,000 comparator; IPTW to reduce confounding.</w:t>
      </w:r>
    </w:p>
    <w:p w14:paraId="2863BD18" w14:textId="77777777" w:rsidR="003736F9" w:rsidRDefault="003736F9" w:rsidP="003736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Add-on: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Therapeutic drug monitoring sub-study</w:t>
      </w:r>
      <w:r>
        <w:rPr>
          <w:rFonts w:eastAsia="Times New Roman"/>
        </w:rPr>
        <w:t xml:space="preserve"> (n=300) for linezolid exposure-toxicity modelling. </w:t>
      </w:r>
    </w:p>
    <w:p w14:paraId="155A0D8D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 xml:space="preserve">3) Fast-track DST study for all TB: </w:t>
      </w:r>
      <w:proofErr w:type="spellStart"/>
      <w:r>
        <w:rPr>
          <w:rFonts w:eastAsia="Times New Roman"/>
        </w:rPr>
        <w:t>Truenat</w:t>
      </w:r>
      <w:proofErr w:type="spellEnd"/>
      <w:r>
        <w:rPr>
          <w:rFonts w:eastAsia="Times New Roman"/>
        </w:rPr>
        <w:t xml:space="preserve">/CBNAAT→ reflex FQ &amp; </w:t>
      </w:r>
      <w:proofErr w:type="spellStart"/>
      <w:r>
        <w:rPr>
          <w:rFonts w:eastAsia="Times New Roman"/>
        </w:rPr>
        <w:t>Bdq</w:t>
      </w:r>
      <w:proofErr w:type="spellEnd"/>
      <w:r>
        <w:rPr>
          <w:rFonts w:eastAsia="Times New Roman"/>
        </w:rPr>
        <w:t xml:space="preserve"> DST</w:t>
      </w:r>
    </w:p>
    <w:p w14:paraId="3AC686CE" w14:textId="77777777" w:rsidR="003736F9" w:rsidRDefault="003736F9" w:rsidP="00373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Question:</w:t>
      </w:r>
      <w:r>
        <w:rPr>
          <w:rFonts w:eastAsia="Times New Roman"/>
        </w:rPr>
        <w:t xml:space="preserve"> Does a </w:t>
      </w:r>
      <w:r>
        <w:rPr>
          <w:rStyle w:val="Strong"/>
          <w:rFonts w:eastAsia="Times New Roman"/>
        </w:rPr>
        <w:t>reflex DST algorithm</w:t>
      </w:r>
      <w:r>
        <w:rPr>
          <w:rFonts w:eastAsia="Times New Roman"/>
        </w:rPr>
        <w:t xml:space="preserve"> cut time-to-effective regimen and improve outcomes?</w:t>
      </w:r>
    </w:p>
    <w:p w14:paraId="6D2E6998" w14:textId="77777777" w:rsidR="003736F9" w:rsidRDefault="003736F9" w:rsidP="00373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Stepped-wedge</w:t>
      </w:r>
      <w:r>
        <w:rPr>
          <w:rFonts w:eastAsia="Times New Roman"/>
        </w:rPr>
        <w:t xml:space="preserve"> across 30 labs; each step adds upfront FQ resistance and targeted </w:t>
      </w:r>
      <w:proofErr w:type="spellStart"/>
      <w:r>
        <w:rPr>
          <w:rFonts w:eastAsia="Times New Roman"/>
        </w:rPr>
        <w:t>Bdq</w:t>
      </w:r>
      <w:proofErr w:type="spellEnd"/>
      <w:r>
        <w:rPr>
          <w:rFonts w:eastAsia="Times New Roman"/>
        </w:rPr>
        <w:t xml:space="preserve"> resistance testing for RR-TB.</w:t>
      </w:r>
    </w:p>
    <w:p w14:paraId="2895E77A" w14:textId="77777777" w:rsidR="003736F9" w:rsidRDefault="003736F9" w:rsidP="00373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Primary outcome:</w:t>
      </w:r>
      <w:r>
        <w:rPr>
          <w:rFonts w:eastAsia="Times New Roman"/>
        </w:rPr>
        <w:t xml:space="preserve"> Median days from sample collection to </w:t>
      </w:r>
      <w:r>
        <w:rPr>
          <w:rStyle w:val="Strong"/>
          <w:rFonts w:eastAsia="Times New Roman"/>
        </w:rPr>
        <w:t>appropriate regimen initiation</w:t>
      </w:r>
      <w:r>
        <w:rPr>
          <w:rFonts w:eastAsia="Times New Roman"/>
        </w:rPr>
        <w:t>.</w:t>
      </w:r>
    </w:p>
    <w:p w14:paraId="19DE0585" w14:textId="77777777" w:rsidR="003736F9" w:rsidRDefault="003736F9" w:rsidP="00373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Secondary:</w:t>
      </w:r>
      <w:r>
        <w:rPr>
          <w:rFonts w:eastAsia="Times New Roman"/>
        </w:rPr>
        <w:t xml:space="preserve"> Loss-to-follow-up pre-treatment, mortality at 6 months, cost per patient.</w:t>
      </w:r>
    </w:p>
    <w:p w14:paraId="75867CC1" w14:textId="77777777" w:rsidR="003736F9" w:rsidRDefault="003736F9" w:rsidP="003736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Economic:</w:t>
      </w:r>
      <w:r>
        <w:rPr>
          <w:rFonts w:eastAsia="Times New Roman"/>
        </w:rPr>
        <w:t xml:space="preserve"> Provider + patient cost diary; budget impact for state. </w:t>
      </w:r>
    </w:p>
    <w:p w14:paraId="436CF638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t>4) TPT delivery models for household contacts: 3HP vs 6H operational trial</w:t>
      </w:r>
    </w:p>
    <w:p w14:paraId="462E90CB" w14:textId="77777777" w:rsidR="003736F9" w:rsidRDefault="003736F9" w:rsidP="00373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Question:</w:t>
      </w:r>
      <w:r>
        <w:rPr>
          <w:rFonts w:eastAsia="Times New Roman"/>
        </w:rPr>
        <w:t xml:space="preserve"> Among eligible contacts, does </w:t>
      </w:r>
      <w:r>
        <w:rPr>
          <w:rStyle w:val="Strong"/>
          <w:rFonts w:eastAsia="Times New Roman"/>
        </w:rPr>
        <w:t>community-delivered 3HP</w:t>
      </w:r>
      <w:r>
        <w:rPr>
          <w:rFonts w:eastAsia="Times New Roman"/>
        </w:rPr>
        <w:t xml:space="preserve"> achieve higher </w:t>
      </w:r>
      <w:r>
        <w:rPr>
          <w:rStyle w:val="Strong"/>
          <w:rFonts w:eastAsia="Times New Roman"/>
        </w:rPr>
        <w:t>completion</w:t>
      </w:r>
      <w:r>
        <w:rPr>
          <w:rFonts w:eastAsia="Times New Roman"/>
        </w:rPr>
        <w:t xml:space="preserve"> and fewer AEs than </w:t>
      </w:r>
      <w:r>
        <w:rPr>
          <w:rStyle w:val="Strong"/>
          <w:rFonts w:eastAsia="Times New Roman"/>
        </w:rPr>
        <w:t>facility-delivered 6H</w:t>
      </w:r>
      <w:r>
        <w:rPr>
          <w:rFonts w:eastAsia="Times New Roman"/>
        </w:rPr>
        <w:t>?</w:t>
      </w:r>
    </w:p>
    <w:p w14:paraId="03759C68" w14:textId="77777777" w:rsidR="003736F9" w:rsidRDefault="003736F9" w:rsidP="00373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Pragmatic open-label RCT</w:t>
      </w:r>
      <w:r>
        <w:rPr>
          <w:rFonts w:eastAsia="Times New Roman"/>
        </w:rPr>
        <w:t xml:space="preserve"> at block level.</w:t>
      </w:r>
    </w:p>
    <w:p w14:paraId="51FE0165" w14:textId="77777777" w:rsidR="003736F9" w:rsidRDefault="003736F9" w:rsidP="00373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Primary outcome:</w:t>
      </w:r>
      <w:r>
        <w:rPr>
          <w:rFonts w:eastAsia="Times New Roman"/>
        </w:rPr>
        <w:t xml:space="preserve"> TPT completion (per WHO).</w:t>
      </w:r>
    </w:p>
    <w:p w14:paraId="188861B3" w14:textId="77777777" w:rsidR="003736F9" w:rsidRDefault="003736F9" w:rsidP="00373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Secondary:</w:t>
      </w:r>
      <w:r>
        <w:rPr>
          <w:rFonts w:eastAsia="Times New Roman"/>
        </w:rPr>
        <w:t xml:space="preserve"> Incident TB at 24 months, AE-related discontinuation, cost-effectiveness.</w:t>
      </w:r>
    </w:p>
    <w:p w14:paraId="4318D9FB" w14:textId="77777777" w:rsidR="003736F9" w:rsidRDefault="003736F9" w:rsidP="003736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Sample:</w:t>
      </w:r>
      <w:r>
        <w:rPr>
          <w:rFonts w:eastAsia="Times New Roman"/>
        </w:rPr>
        <w:t xml:space="preserve"> ~2,400 contacts (power to detect 10-pp difference). </w:t>
      </w:r>
    </w:p>
    <w:p w14:paraId="2B6F56BD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t>5) Bridging the DBT gap: payments architecture A/B test</w:t>
      </w:r>
    </w:p>
    <w:p w14:paraId="695F615B" w14:textId="77777777" w:rsidR="003736F9" w:rsidRDefault="003736F9" w:rsidP="00373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Question:</w:t>
      </w:r>
      <w:r>
        <w:rPr>
          <w:rFonts w:eastAsia="Times New Roman"/>
        </w:rPr>
        <w:t xml:space="preserve"> Do </w:t>
      </w:r>
      <w:r>
        <w:rPr>
          <w:rStyle w:val="Strong"/>
          <w:rFonts w:eastAsia="Times New Roman"/>
        </w:rPr>
        <w:t>auto-triggered, same-day DBT releases</w:t>
      </w:r>
      <w:r>
        <w:rPr>
          <w:rFonts w:eastAsia="Times New Roman"/>
        </w:rPr>
        <w:t xml:space="preserve"> (via </w:t>
      </w:r>
      <w:proofErr w:type="spellStart"/>
      <w:r>
        <w:rPr>
          <w:rFonts w:eastAsia="Times New Roman"/>
        </w:rPr>
        <w:t>Nikshay</w:t>
      </w:r>
      <w:proofErr w:type="spellEnd"/>
      <w:r>
        <w:rPr>
          <w:rFonts w:eastAsia="Times New Roman"/>
        </w:rPr>
        <w:t>-PFMS API) + helpline reduce delays and improve adherence?</w:t>
      </w:r>
    </w:p>
    <w:p w14:paraId="0B26D1F4" w14:textId="77777777" w:rsidR="003736F9" w:rsidRDefault="003736F9" w:rsidP="00373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Cluster randomized</w:t>
      </w:r>
      <w:r>
        <w:rPr>
          <w:rFonts w:eastAsia="Times New Roman"/>
        </w:rPr>
        <w:t>, facilities as clusters; intervention adds instant eligibility checks and SMS nudges.</w:t>
      </w:r>
    </w:p>
    <w:p w14:paraId="6B5134B6" w14:textId="77777777" w:rsidR="003736F9" w:rsidRDefault="003736F9" w:rsidP="00373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Primary outcome: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Median days</w:t>
      </w:r>
      <w:r>
        <w:rPr>
          <w:rFonts w:eastAsia="Times New Roman"/>
        </w:rPr>
        <w:t xml:space="preserve"> from notification to first DBT credit.</w:t>
      </w:r>
    </w:p>
    <w:p w14:paraId="2560175D" w14:textId="77777777" w:rsidR="003736F9" w:rsidRDefault="003736F9" w:rsidP="00373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Secondary:</w:t>
      </w:r>
      <w:r>
        <w:rPr>
          <w:rFonts w:eastAsia="Times New Roman"/>
        </w:rPr>
        <w:t xml:space="preserve"> Missed doses, weight gain at 2 months, default.</w:t>
      </w:r>
    </w:p>
    <w:p w14:paraId="726D1E2D" w14:textId="77777777" w:rsidR="003736F9" w:rsidRDefault="003736F9" w:rsidP="003736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Qualitative:</w:t>
      </w:r>
      <w:r>
        <w:rPr>
          <w:rFonts w:eastAsia="Times New Roman"/>
        </w:rPr>
        <w:t xml:space="preserve"> Patient interviews on stigma &amp; spend patterns for NPY funds. </w:t>
      </w:r>
    </w:p>
    <w:p w14:paraId="5F2BAAEB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t>6) AI-CXR vans + field molecular testing in urban slums/prisons</w:t>
      </w:r>
    </w:p>
    <w:p w14:paraId="2948DBE7" w14:textId="77777777" w:rsidR="003736F9" w:rsidRDefault="003736F9" w:rsidP="00373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Question:</w:t>
      </w:r>
      <w:r>
        <w:rPr>
          <w:rFonts w:eastAsia="Times New Roman"/>
        </w:rPr>
        <w:t xml:space="preserve"> Do </w:t>
      </w:r>
      <w:r>
        <w:rPr>
          <w:rStyle w:val="Strong"/>
          <w:rFonts w:eastAsia="Times New Roman"/>
        </w:rPr>
        <w:t>AI-assisted CXR vans</w:t>
      </w:r>
      <w:r>
        <w:rPr>
          <w:rFonts w:eastAsia="Times New Roman"/>
        </w:rPr>
        <w:t xml:space="preserve"> with on-board </w:t>
      </w:r>
      <w:proofErr w:type="spellStart"/>
      <w:r>
        <w:rPr>
          <w:rFonts w:eastAsia="Times New Roman"/>
        </w:rPr>
        <w:t>Truenat</w:t>
      </w:r>
      <w:proofErr w:type="spellEnd"/>
      <w:r>
        <w:rPr>
          <w:rFonts w:eastAsia="Times New Roman"/>
        </w:rPr>
        <w:t xml:space="preserve"> and same-day linkage </w:t>
      </w:r>
      <w:r>
        <w:rPr>
          <w:rStyle w:val="Strong"/>
          <w:rFonts w:eastAsia="Times New Roman"/>
        </w:rPr>
        <w:t>increase case yield</w:t>
      </w:r>
      <w:r>
        <w:rPr>
          <w:rFonts w:eastAsia="Times New Roman"/>
        </w:rPr>
        <w:t xml:space="preserve"> and reduce pre-treatment LTFU vs periodic symptom camps?</w:t>
      </w:r>
    </w:p>
    <w:p w14:paraId="6B290149" w14:textId="77777777" w:rsidR="003736F9" w:rsidRDefault="003736F9" w:rsidP="00373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Controlled before–after</w:t>
      </w:r>
      <w:r>
        <w:rPr>
          <w:rFonts w:eastAsia="Times New Roman"/>
        </w:rPr>
        <w:t xml:space="preserve"> across matched hotspots &amp; prisons.</w:t>
      </w:r>
    </w:p>
    <w:p w14:paraId="1F233B97" w14:textId="77777777" w:rsidR="003736F9" w:rsidRDefault="003736F9" w:rsidP="00373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Primary outcome:</w:t>
      </w:r>
      <w:r>
        <w:rPr>
          <w:rFonts w:eastAsia="Times New Roman"/>
        </w:rPr>
        <w:t xml:space="preserve"> Bacteriologically confirmed cases </w:t>
      </w:r>
      <w:r>
        <w:rPr>
          <w:rStyle w:val="Strong"/>
          <w:rFonts w:eastAsia="Times New Roman"/>
        </w:rPr>
        <w:t>per 1,000 screened</w:t>
      </w:r>
      <w:r>
        <w:rPr>
          <w:rFonts w:eastAsia="Times New Roman"/>
        </w:rPr>
        <w:t>.</w:t>
      </w:r>
    </w:p>
    <w:p w14:paraId="25B1E341" w14:textId="77777777" w:rsidR="003736F9" w:rsidRDefault="003736F9" w:rsidP="003736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Secondary:</w:t>
      </w:r>
      <w:r>
        <w:rPr>
          <w:rFonts w:eastAsia="Times New Roman"/>
        </w:rPr>
        <w:t xml:space="preserve"> Time to treatment start, cost per case, positivity among high-risk groups (DM, elderly). </w:t>
      </w:r>
    </w:p>
    <w:p w14:paraId="3467EE75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t>7) Paediatric TB diagnostic pathway evaluation</w:t>
      </w:r>
    </w:p>
    <w:p w14:paraId="1233E10A" w14:textId="77777777" w:rsidR="003736F9" w:rsidRDefault="003736F9" w:rsidP="003736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Question:</w:t>
      </w:r>
      <w:r>
        <w:rPr>
          <w:rFonts w:eastAsia="Times New Roman"/>
        </w:rPr>
        <w:t xml:space="preserve"> What is the incremental yield of </w:t>
      </w:r>
      <w:r>
        <w:rPr>
          <w:rStyle w:val="Strong"/>
          <w:rFonts w:eastAsia="Times New Roman"/>
        </w:rPr>
        <w:t>non-sputum sampling (stool, NPA), ultrasound-guided FNAC</w:t>
      </w:r>
      <w:r>
        <w:rPr>
          <w:rFonts w:eastAsia="Times New Roman"/>
        </w:rPr>
        <w:t xml:space="preserve">, and </w:t>
      </w:r>
      <w:r>
        <w:rPr>
          <w:rStyle w:val="Strong"/>
          <w:rFonts w:eastAsia="Times New Roman"/>
        </w:rPr>
        <w:t>CAD-CXR</w:t>
      </w:r>
      <w:r>
        <w:rPr>
          <w:rFonts w:eastAsia="Times New Roman"/>
        </w:rPr>
        <w:t xml:space="preserve"> in children?</w:t>
      </w:r>
    </w:p>
    <w:p w14:paraId="6B4CEAA3" w14:textId="77777777" w:rsidR="003736F9" w:rsidRDefault="003736F9" w:rsidP="003736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Prospective diagnostic accuracy</w:t>
      </w:r>
      <w:r>
        <w:rPr>
          <w:rFonts w:eastAsia="Times New Roman"/>
        </w:rPr>
        <w:t xml:space="preserve"> study against composite reference standard across 10 paediatric sites.</w:t>
      </w:r>
    </w:p>
    <w:p w14:paraId="00D25D4A" w14:textId="77777777" w:rsidR="003736F9" w:rsidRDefault="003736F9" w:rsidP="003736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Outcomes:</w:t>
      </w:r>
      <w:r>
        <w:rPr>
          <w:rFonts w:eastAsia="Times New Roman"/>
        </w:rPr>
        <w:t xml:space="preserve"> Sensitivity/specificity by specimen &amp; age band; time-to-diagnosis; AE from procedures.</w:t>
      </w:r>
    </w:p>
    <w:p w14:paraId="21518CEB" w14:textId="77777777" w:rsidR="003736F9" w:rsidRDefault="003736F9" w:rsidP="003736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Policy hook:</w:t>
      </w:r>
      <w:r>
        <w:rPr>
          <w:rFonts w:eastAsia="Times New Roman"/>
        </w:rPr>
        <w:t xml:space="preserve"> Build national paediatric algorithm addendum.</w:t>
      </w:r>
    </w:p>
    <w:p w14:paraId="5097CD37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t>8) Migrant-aware care cascades: longitudinal cohort</w:t>
      </w:r>
    </w:p>
    <w:p w14:paraId="6AA8A503" w14:textId="77777777" w:rsidR="003736F9" w:rsidRDefault="003736F9" w:rsidP="00373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Question:</w:t>
      </w:r>
      <w:r>
        <w:rPr>
          <w:rFonts w:eastAsia="Times New Roman"/>
        </w:rPr>
        <w:t xml:space="preserve"> Where are the biggest </w:t>
      </w:r>
      <w:r>
        <w:rPr>
          <w:rStyle w:val="Strong"/>
          <w:rFonts w:eastAsia="Times New Roman"/>
        </w:rPr>
        <w:t>cascade losses</w:t>
      </w:r>
      <w:r>
        <w:rPr>
          <w:rFonts w:eastAsia="Times New Roman"/>
        </w:rPr>
        <w:t xml:space="preserve"> for </w:t>
      </w:r>
      <w:r>
        <w:rPr>
          <w:rStyle w:val="Strong"/>
          <w:rFonts w:eastAsia="Times New Roman"/>
        </w:rPr>
        <w:t>internal migrants</w:t>
      </w:r>
      <w:r>
        <w:rPr>
          <w:rFonts w:eastAsia="Times New Roman"/>
        </w:rPr>
        <w:t xml:space="preserve"> with TB?</w:t>
      </w:r>
    </w:p>
    <w:p w14:paraId="62CF4725" w14:textId="77777777" w:rsidR="003736F9" w:rsidRDefault="003736F9" w:rsidP="00373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Cohort</w:t>
      </w:r>
      <w:r>
        <w:rPr>
          <w:rFonts w:eastAsia="Times New Roman"/>
        </w:rPr>
        <w:t xml:space="preserve"> of 3,000 </w:t>
      </w:r>
      <w:proofErr w:type="spellStart"/>
      <w:r>
        <w:rPr>
          <w:rFonts w:eastAsia="Times New Roman"/>
        </w:rPr>
        <w:t>PwTB</w:t>
      </w:r>
      <w:proofErr w:type="spellEnd"/>
      <w:r>
        <w:rPr>
          <w:rFonts w:eastAsia="Times New Roman"/>
        </w:rPr>
        <w:t xml:space="preserve"> tagged as migrants; </w:t>
      </w:r>
      <w:r>
        <w:rPr>
          <w:rStyle w:val="Strong"/>
          <w:rFonts w:eastAsia="Times New Roman"/>
        </w:rPr>
        <w:t>SIM-based contact tracing</w:t>
      </w:r>
      <w:r>
        <w:rPr>
          <w:rFonts w:eastAsia="Times New Roman"/>
        </w:rPr>
        <w:t>, portability of care across states; compare to 3,000 non-migrants.</w:t>
      </w:r>
    </w:p>
    <w:p w14:paraId="44E9353A" w14:textId="77777777" w:rsidR="003736F9" w:rsidRDefault="003736F9" w:rsidP="003736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Outcomes:</w:t>
      </w:r>
      <w:r>
        <w:rPr>
          <w:rFonts w:eastAsia="Times New Roman"/>
        </w:rPr>
        <w:t xml:space="preserve"> Treatment interruption, transfer-out, success; qualitative barriers.</w:t>
      </w:r>
    </w:p>
    <w:p w14:paraId="41ABC34B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t>9) Diabetes-TB integrated management trial</w:t>
      </w:r>
    </w:p>
    <w:p w14:paraId="756FEA30" w14:textId="77777777" w:rsidR="003736F9" w:rsidRDefault="003736F9" w:rsidP="00373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Question:</w:t>
      </w:r>
      <w:r>
        <w:rPr>
          <w:rFonts w:eastAsia="Times New Roman"/>
        </w:rPr>
        <w:t xml:space="preserve"> Does </w:t>
      </w:r>
      <w:r>
        <w:rPr>
          <w:rStyle w:val="Strong"/>
          <w:rFonts w:eastAsia="Times New Roman"/>
        </w:rPr>
        <w:t>co-located glycaemic control</w:t>
      </w:r>
      <w:r>
        <w:rPr>
          <w:rFonts w:eastAsia="Times New Roman"/>
        </w:rPr>
        <w:t xml:space="preserve"> (meter, strips, basic meds + monthly </w:t>
      </w:r>
      <w:proofErr w:type="spellStart"/>
      <w:r>
        <w:rPr>
          <w:rFonts w:eastAsia="Times New Roman"/>
        </w:rPr>
        <w:t>counseling</w:t>
      </w:r>
      <w:proofErr w:type="spellEnd"/>
      <w:r>
        <w:rPr>
          <w:rFonts w:eastAsia="Times New Roman"/>
        </w:rPr>
        <w:t xml:space="preserve">) </w:t>
      </w:r>
      <w:r>
        <w:rPr>
          <w:rStyle w:val="Strong"/>
          <w:rFonts w:eastAsia="Times New Roman"/>
        </w:rPr>
        <w:t>improve TB outcomes</w:t>
      </w:r>
      <w:r>
        <w:rPr>
          <w:rFonts w:eastAsia="Times New Roman"/>
        </w:rPr>
        <w:t>?</w:t>
      </w:r>
    </w:p>
    <w:p w14:paraId="61781A63" w14:textId="77777777" w:rsidR="003736F9" w:rsidRDefault="003736F9" w:rsidP="00373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Cluster RCT</w:t>
      </w:r>
      <w:r>
        <w:rPr>
          <w:rFonts w:eastAsia="Times New Roman"/>
        </w:rPr>
        <w:t xml:space="preserve"> in 30 high-DM districts.</w:t>
      </w:r>
    </w:p>
    <w:p w14:paraId="579937D5" w14:textId="77777777" w:rsidR="003736F9" w:rsidRDefault="003736F9" w:rsidP="00373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Primary outcome:</w:t>
      </w:r>
      <w:r>
        <w:rPr>
          <w:rFonts w:eastAsia="Times New Roman"/>
        </w:rPr>
        <w:t xml:space="preserve"> Unfavourable TB outcome composite.</w:t>
      </w:r>
    </w:p>
    <w:p w14:paraId="2BFFC77D" w14:textId="77777777" w:rsidR="003736F9" w:rsidRDefault="003736F9" w:rsidP="003736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Secondary:</w:t>
      </w:r>
      <w:r>
        <w:rPr>
          <w:rFonts w:eastAsia="Times New Roman"/>
        </w:rPr>
        <w:t xml:space="preserve"> HbA1c change, weight gain, severe AEs, cost. (Addresses high comorbidity burden flagged by NTEP/WHO.)</w:t>
      </w:r>
    </w:p>
    <w:p w14:paraId="0E94C979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t>10) Catastrophic costs sentinel surveillance + policy simulation</w:t>
      </w:r>
    </w:p>
    <w:p w14:paraId="7D01F03C" w14:textId="77777777" w:rsidR="003736F9" w:rsidRDefault="003736F9" w:rsidP="003736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Question:</w:t>
      </w:r>
      <w:r>
        <w:rPr>
          <w:rFonts w:eastAsia="Times New Roman"/>
        </w:rPr>
        <w:t xml:space="preserve"> What proportion of households face </w:t>
      </w:r>
      <w:r>
        <w:rPr>
          <w:rStyle w:val="Strong"/>
          <w:rFonts w:eastAsia="Times New Roman"/>
        </w:rPr>
        <w:t>catastrophic costs</w:t>
      </w:r>
      <w:r>
        <w:rPr>
          <w:rFonts w:eastAsia="Times New Roman"/>
        </w:rPr>
        <w:t xml:space="preserve"> today, and which policy levers (higher NPY, travel vouchers, sick-leave wage replacement) bend the curve?</w:t>
      </w:r>
    </w:p>
    <w:p w14:paraId="4E6A205D" w14:textId="77777777" w:rsidR="003736F9" w:rsidRDefault="003736F9" w:rsidP="003736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Sentinel patient-cost survey</w:t>
      </w:r>
      <w:r>
        <w:rPr>
          <w:rFonts w:eastAsia="Times New Roman"/>
        </w:rPr>
        <w:t xml:space="preserve"> (WHO tool) in 12 states + </w:t>
      </w:r>
      <w:r>
        <w:rPr>
          <w:rStyle w:val="Strong"/>
          <w:rFonts w:eastAsia="Times New Roman"/>
        </w:rPr>
        <w:t>microsimulation</w:t>
      </w:r>
      <w:r>
        <w:rPr>
          <w:rFonts w:eastAsia="Times New Roman"/>
        </w:rPr>
        <w:t xml:space="preserve"> of benefit packages.</w:t>
      </w:r>
    </w:p>
    <w:p w14:paraId="58685F48" w14:textId="77777777" w:rsidR="003736F9" w:rsidRDefault="003736F9" w:rsidP="003736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Outcome:</w:t>
      </w:r>
      <w:r>
        <w:rPr>
          <w:rFonts w:eastAsia="Times New Roman"/>
        </w:rPr>
        <w:t xml:space="preserve"> Share of households with catastrophic cost; </w:t>
      </w:r>
      <w:r>
        <w:rPr>
          <w:rStyle w:val="Strong"/>
          <w:rFonts w:eastAsia="Times New Roman"/>
        </w:rPr>
        <w:t>equity impacts</w:t>
      </w:r>
      <w:r>
        <w:rPr>
          <w:rFonts w:eastAsia="Times New Roman"/>
        </w:rPr>
        <w:t xml:space="preserve"> by quintile; policy-ready budget scenarios. </w:t>
      </w:r>
    </w:p>
    <w:p w14:paraId="371C42A5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11) Supply-chain readiness audit for </w:t>
      </w:r>
      <w:proofErr w:type="spellStart"/>
      <w:r>
        <w:rPr>
          <w:rFonts w:eastAsia="Times New Roman"/>
        </w:rPr>
        <w:t>BPaLM</w:t>
      </w:r>
      <w:proofErr w:type="spellEnd"/>
      <w:r>
        <w:rPr>
          <w:rFonts w:eastAsia="Times New Roman"/>
        </w:rPr>
        <w:t>/TPT (rapid appraisal)</w:t>
      </w:r>
    </w:p>
    <w:p w14:paraId="52358696" w14:textId="77777777" w:rsidR="003736F9" w:rsidRDefault="003736F9" w:rsidP="003736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Focus: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Pretomanid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rifapentine</w:t>
      </w:r>
      <w:proofErr w:type="spellEnd"/>
      <w:r>
        <w:rPr>
          <w:rFonts w:eastAsia="Times New Roman"/>
        </w:rPr>
        <w:t xml:space="preserve">, linezolid, </w:t>
      </w:r>
      <w:proofErr w:type="spellStart"/>
      <w:r>
        <w:rPr>
          <w:rFonts w:eastAsia="Times New Roman"/>
        </w:rPr>
        <w:t>moxifloxacin</w:t>
      </w:r>
      <w:proofErr w:type="spellEnd"/>
      <w:r>
        <w:rPr>
          <w:rFonts w:eastAsia="Times New Roman"/>
        </w:rPr>
        <w:t>; cartridge stock; lab consumables.</w:t>
      </w:r>
    </w:p>
    <w:p w14:paraId="6A790FBE" w14:textId="77777777" w:rsidR="003736F9" w:rsidRDefault="003736F9" w:rsidP="003736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Cross-sectional structured audit</w:t>
      </w:r>
      <w:r>
        <w:rPr>
          <w:rFonts w:eastAsia="Times New Roman"/>
        </w:rPr>
        <w:t xml:space="preserve"> of 100 facilities + qualitative key-informant interviews.</w:t>
      </w:r>
    </w:p>
    <w:p w14:paraId="415DD167" w14:textId="77777777" w:rsidR="003736F9" w:rsidRDefault="003736F9" w:rsidP="003736F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Output:</w:t>
      </w:r>
      <w:r>
        <w:rPr>
          <w:rFonts w:eastAsia="Times New Roman"/>
        </w:rPr>
        <w:t xml:space="preserve"> Heat-map of </w:t>
      </w:r>
      <w:proofErr w:type="spellStart"/>
      <w:r>
        <w:rPr>
          <w:rFonts w:eastAsia="Times New Roman"/>
        </w:rPr>
        <w:t>stockout</w:t>
      </w:r>
      <w:proofErr w:type="spellEnd"/>
      <w:r>
        <w:rPr>
          <w:rFonts w:eastAsia="Times New Roman"/>
        </w:rPr>
        <w:t xml:space="preserve"> risk; reorder thresholds; vendor performance—directly actionable by states.</w:t>
      </w:r>
    </w:p>
    <w:p w14:paraId="47372D0A" w14:textId="77777777" w:rsidR="003736F9" w:rsidRDefault="003736F9">
      <w:pPr>
        <w:pStyle w:val="Heading3"/>
        <w:rPr>
          <w:rFonts w:eastAsia="Times New Roman"/>
        </w:rPr>
      </w:pPr>
      <w:r>
        <w:rPr>
          <w:rFonts w:eastAsia="Times New Roman"/>
        </w:rPr>
        <w:t>12) Vaccine preparedness &amp; acceptance (M72 readiness)</w:t>
      </w:r>
    </w:p>
    <w:p w14:paraId="2AC7C38F" w14:textId="77777777" w:rsidR="003736F9" w:rsidRDefault="003736F9" w:rsidP="003736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Question:</w:t>
      </w:r>
      <w:r>
        <w:rPr>
          <w:rFonts w:eastAsia="Times New Roman"/>
        </w:rPr>
        <w:t xml:space="preserve"> What is </w:t>
      </w:r>
      <w:r>
        <w:rPr>
          <w:rStyle w:val="Strong"/>
          <w:rFonts w:eastAsia="Times New Roman"/>
        </w:rPr>
        <w:t>acceptability</w:t>
      </w:r>
      <w:r>
        <w:rPr>
          <w:rFonts w:eastAsia="Times New Roman"/>
        </w:rPr>
        <w:t xml:space="preserve">, logistics readiness, and </w:t>
      </w:r>
      <w:r>
        <w:rPr>
          <w:rStyle w:val="Strong"/>
          <w:rFonts w:eastAsia="Times New Roman"/>
        </w:rPr>
        <w:t>targeting</w:t>
      </w:r>
      <w:r>
        <w:rPr>
          <w:rFonts w:eastAsia="Times New Roman"/>
        </w:rPr>
        <w:t xml:space="preserve"> strategy for an adult/adolescent TB vaccine?</w:t>
      </w:r>
    </w:p>
    <w:p w14:paraId="4CA60024" w14:textId="77777777" w:rsidR="003736F9" w:rsidRDefault="003736F9" w:rsidP="003736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Design:</w:t>
      </w:r>
      <w:r>
        <w:rPr>
          <w:rFonts w:eastAsia="Times New Roman"/>
        </w:rPr>
        <w:t xml:space="preserve"> </w:t>
      </w:r>
      <w:r>
        <w:rPr>
          <w:rStyle w:val="Strong"/>
          <w:rFonts w:eastAsia="Times New Roman"/>
        </w:rPr>
        <w:t>Mixed-methods</w:t>
      </w:r>
      <w:r>
        <w:rPr>
          <w:rFonts w:eastAsia="Times New Roman"/>
        </w:rPr>
        <w:t xml:space="preserve"> (community surveys, provider KAP, cold-chain audit).</w:t>
      </w:r>
    </w:p>
    <w:p w14:paraId="176051F4" w14:textId="77777777" w:rsidR="003736F9" w:rsidRDefault="003736F9" w:rsidP="003736F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lastRenderedPageBreak/>
        <w:t>Outcome:</w:t>
      </w:r>
      <w:r>
        <w:rPr>
          <w:rFonts w:eastAsia="Times New Roman"/>
        </w:rPr>
        <w:t xml:space="preserve"> Feasibility &amp; </w:t>
      </w:r>
      <w:proofErr w:type="spellStart"/>
      <w:r>
        <w:rPr>
          <w:rFonts w:eastAsia="Times New Roman"/>
        </w:rPr>
        <w:t>comms</w:t>
      </w:r>
      <w:proofErr w:type="spellEnd"/>
      <w:r>
        <w:rPr>
          <w:rFonts w:eastAsia="Times New Roman"/>
        </w:rPr>
        <w:t xml:space="preserve"> blueprint to accelerate roll-out if/when M72 succeeds. </w:t>
      </w:r>
    </w:p>
    <w:p w14:paraId="6534AE31" w14:textId="77777777" w:rsidR="003736F9" w:rsidRDefault="003736F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150FCBC" wp14:editId="1AFC7BF6">
                <wp:extent cx="5731510" cy="1270"/>
                <wp:effectExtent l="0" t="31750" r="0" b="36830"/>
                <wp:docPr id="90551696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7D0F5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0B829D" w14:textId="77777777" w:rsidR="003736F9" w:rsidRDefault="003736F9">
      <w:pPr>
        <w:pStyle w:val="Heading2"/>
        <w:rPr>
          <w:rFonts w:eastAsia="Times New Roman"/>
        </w:rPr>
      </w:pPr>
      <w:r>
        <w:rPr>
          <w:rFonts w:eastAsia="Times New Roman"/>
        </w:rPr>
        <w:t>Cross-cutting methods &amp; ops details (for all protocols)</w:t>
      </w:r>
    </w:p>
    <w:p w14:paraId="219EA1B2" w14:textId="77777777" w:rsidR="003736F9" w:rsidRDefault="003736F9" w:rsidP="003736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Sampling &amp; power:</w:t>
      </w:r>
      <w:r>
        <w:rPr>
          <w:rFonts w:eastAsia="Times New Roman"/>
        </w:rPr>
        <w:t xml:space="preserve"> Use cluster-level coefficients from prior NTEP ops research (ICC 0.01–0.05). Conservative attrition 10–15%.</w:t>
      </w:r>
    </w:p>
    <w:p w14:paraId="5DADE947" w14:textId="77777777" w:rsidR="003736F9" w:rsidRDefault="003736F9" w:rsidP="003736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Data systems:</w:t>
      </w:r>
      <w:r>
        <w:rPr>
          <w:rFonts w:eastAsia="Times New Roman"/>
        </w:rPr>
        <w:t xml:space="preserve"> </w:t>
      </w:r>
      <w:proofErr w:type="spellStart"/>
      <w:r>
        <w:rPr>
          <w:rStyle w:val="Strong"/>
          <w:rFonts w:eastAsia="Times New Roman"/>
        </w:rPr>
        <w:t>Nikshay</w:t>
      </w:r>
      <w:proofErr w:type="spellEnd"/>
      <w:r>
        <w:rPr>
          <w:rFonts w:eastAsia="Times New Roman"/>
        </w:rPr>
        <w:t xml:space="preserve"> integration for case IDs/outcomes; </w:t>
      </w:r>
      <w:proofErr w:type="spellStart"/>
      <w:r>
        <w:rPr>
          <w:rFonts w:eastAsia="Times New Roman"/>
        </w:rPr>
        <w:t>REDCap</w:t>
      </w:r>
      <w:proofErr w:type="spellEnd"/>
      <w:r>
        <w:rPr>
          <w:rFonts w:eastAsia="Times New Roman"/>
        </w:rPr>
        <w:t xml:space="preserve">/ODK for study CRFs; PFMS </w:t>
      </w:r>
      <w:proofErr w:type="spellStart"/>
      <w:r>
        <w:rPr>
          <w:rFonts w:eastAsia="Times New Roman"/>
        </w:rPr>
        <w:t>webhook</w:t>
      </w:r>
      <w:proofErr w:type="spellEnd"/>
      <w:r>
        <w:rPr>
          <w:rFonts w:eastAsia="Times New Roman"/>
        </w:rPr>
        <w:t xml:space="preserve"> for DBT timing (where allowed). </w:t>
      </w:r>
    </w:p>
    <w:p w14:paraId="73DB2ACC" w14:textId="77777777" w:rsidR="003736F9" w:rsidRDefault="003736F9" w:rsidP="003736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Ethics:</w:t>
      </w:r>
      <w:r>
        <w:rPr>
          <w:rFonts w:eastAsia="Times New Roman"/>
        </w:rPr>
        <w:t xml:space="preserve"> Independent EC + state TB office nodal approval; adverse event reporting aligned to CTD </w:t>
      </w:r>
      <w:proofErr w:type="spellStart"/>
      <w:r>
        <w:rPr>
          <w:rFonts w:eastAsia="Times New Roman"/>
        </w:rPr>
        <w:t>Pv</w:t>
      </w:r>
      <w:proofErr w:type="spellEnd"/>
      <w:r>
        <w:rPr>
          <w:rFonts w:eastAsia="Times New Roman"/>
        </w:rPr>
        <w:t xml:space="preserve"> SOPs for </w:t>
      </w:r>
      <w:proofErr w:type="spellStart"/>
      <w:r>
        <w:rPr>
          <w:rFonts w:eastAsia="Times New Roman"/>
        </w:rPr>
        <w:t>BPaLM</w:t>
      </w:r>
      <w:proofErr w:type="spellEnd"/>
      <w:r>
        <w:rPr>
          <w:rFonts w:eastAsia="Times New Roman"/>
        </w:rPr>
        <w:t xml:space="preserve">. </w:t>
      </w:r>
    </w:p>
    <w:p w14:paraId="3A05C46D" w14:textId="77777777" w:rsidR="003736F9" w:rsidRDefault="003736F9" w:rsidP="003736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Economics:</w:t>
      </w:r>
      <w:r>
        <w:rPr>
          <w:rFonts w:eastAsia="Times New Roman"/>
        </w:rPr>
        <w:t xml:space="preserve"> Provider costing (ingredients method) + patient costing (WHO tool); present </w:t>
      </w:r>
      <w:r>
        <w:rPr>
          <w:rStyle w:val="Strong"/>
          <w:rFonts w:eastAsia="Times New Roman"/>
        </w:rPr>
        <w:t>cost-per-additional-success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budget impact</w:t>
      </w:r>
      <w:r>
        <w:rPr>
          <w:rFonts w:eastAsia="Times New Roman"/>
        </w:rPr>
        <w:t xml:space="preserve">. </w:t>
      </w:r>
    </w:p>
    <w:p w14:paraId="0A4D6E3B" w14:textId="77777777" w:rsidR="003736F9" w:rsidRDefault="003736F9" w:rsidP="003736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Equity lens:</w:t>
      </w:r>
      <w:r>
        <w:rPr>
          <w:rFonts w:eastAsia="Times New Roman"/>
        </w:rPr>
        <w:t xml:space="preserve"> Pre-specify subgroup analyses—sex, age, migrant status, urban slum residence, caste/tribe, and wealth quintiles.</w:t>
      </w:r>
    </w:p>
    <w:p w14:paraId="578A7EBC" w14:textId="77777777" w:rsidR="003736F9" w:rsidRDefault="003736F9" w:rsidP="003736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Dissemination:</w:t>
      </w:r>
      <w:r>
        <w:rPr>
          <w:rFonts w:eastAsia="Times New Roman"/>
        </w:rPr>
        <w:t xml:space="preserve"> Interim dashboards to district/state TB cells each quarter; “policy brief” per study with 1-page recommendations.</w:t>
      </w:r>
    </w:p>
    <w:p w14:paraId="772CE010" w14:textId="77777777" w:rsidR="003736F9" w:rsidRDefault="003736F9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32C40AB" wp14:editId="33B9BD38">
                <wp:extent cx="5731510" cy="1270"/>
                <wp:effectExtent l="0" t="31750" r="0" b="36830"/>
                <wp:docPr id="1808586650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0B495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F9CC9FD" w14:textId="77777777" w:rsidR="003736F9" w:rsidRDefault="003736F9">
      <w:pPr>
        <w:pStyle w:val="Heading2"/>
        <w:rPr>
          <w:rFonts w:eastAsia="Times New Roman"/>
        </w:rPr>
      </w:pPr>
      <w:r>
        <w:rPr>
          <w:rFonts w:eastAsia="Times New Roman"/>
        </w:rPr>
        <w:t>Immediate policy takeaways you can act on while research runs</w:t>
      </w:r>
    </w:p>
    <w:p w14:paraId="0CFDB246" w14:textId="77777777" w:rsidR="003736F9" w:rsidRDefault="003736F9" w:rsidP="003736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Mandate reflex FQ DST with upfront molecular testing</w:t>
      </w:r>
      <w:r>
        <w:rPr>
          <w:rFonts w:eastAsia="Times New Roman"/>
        </w:rPr>
        <w:t xml:space="preserve">; pilot </w:t>
      </w:r>
      <w:proofErr w:type="spellStart"/>
      <w:r>
        <w:rPr>
          <w:rFonts w:eastAsia="Times New Roman"/>
        </w:rPr>
        <w:t>Bdq</w:t>
      </w:r>
      <w:proofErr w:type="spellEnd"/>
      <w:r>
        <w:rPr>
          <w:rFonts w:eastAsia="Times New Roman"/>
        </w:rPr>
        <w:t xml:space="preserve"> DST where feasible. </w:t>
      </w:r>
    </w:p>
    <w:p w14:paraId="7BACE637" w14:textId="77777777" w:rsidR="003736F9" w:rsidRDefault="003736F9" w:rsidP="003736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Scale </w:t>
      </w:r>
      <w:proofErr w:type="spellStart"/>
      <w:r>
        <w:rPr>
          <w:rStyle w:val="Strong"/>
          <w:rFonts w:eastAsia="Times New Roman"/>
        </w:rPr>
        <w:t>BPaLM</w:t>
      </w:r>
      <w:proofErr w:type="spellEnd"/>
      <w:r>
        <w:rPr>
          <w:rStyle w:val="Strong"/>
          <w:rFonts w:eastAsia="Times New Roman"/>
        </w:rPr>
        <w:t xml:space="preserve"> with guardrails:</w:t>
      </w:r>
      <w:r>
        <w:rPr>
          <w:rFonts w:eastAsia="Times New Roman"/>
        </w:rPr>
        <w:t xml:space="preserve"> minimum monthly CBC + neuropathy/vision screens; hotline for AEs; track eligibility vs treated to find bottlenecks. </w:t>
      </w:r>
    </w:p>
    <w:p w14:paraId="3308D46D" w14:textId="77777777" w:rsidR="003736F9" w:rsidRDefault="003736F9" w:rsidP="003736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 xml:space="preserve">Accelerate TPT with 3HP where </w:t>
      </w:r>
      <w:proofErr w:type="spellStart"/>
      <w:r>
        <w:rPr>
          <w:rStyle w:val="Strong"/>
          <w:rFonts w:eastAsia="Times New Roman"/>
        </w:rPr>
        <w:t>rifapentine</w:t>
      </w:r>
      <w:proofErr w:type="spellEnd"/>
      <w:r>
        <w:rPr>
          <w:rStyle w:val="Strong"/>
          <w:rFonts w:eastAsia="Times New Roman"/>
        </w:rPr>
        <w:t xml:space="preserve"> is available</w:t>
      </w:r>
      <w:r>
        <w:rPr>
          <w:rFonts w:eastAsia="Times New Roman"/>
        </w:rPr>
        <w:t xml:space="preserve">; in parallel, strengthen 6H supply and community delivery. </w:t>
      </w:r>
    </w:p>
    <w:p w14:paraId="74CA2A98" w14:textId="77777777" w:rsidR="003736F9" w:rsidRDefault="003736F9" w:rsidP="003736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Fix DBT delays:</w:t>
      </w:r>
      <w:r>
        <w:rPr>
          <w:rFonts w:eastAsia="Times New Roman"/>
        </w:rPr>
        <w:t xml:space="preserve"> auto-trigger payments upon notification, publish TATs by district, and allow in-kind nutrition top-ups via </w:t>
      </w:r>
      <w:proofErr w:type="spellStart"/>
      <w:r>
        <w:rPr>
          <w:rFonts w:eastAsia="Times New Roman"/>
        </w:rPr>
        <w:t>Nikshay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Mitra</w:t>
      </w:r>
      <w:proofErr w:type="spellEnd"/>
      <w:r>
        <w:rPr>
          <w:rFonts w:eastAsia="Times New Roman"/>
        </w:rPr>
        <w:t xml:space="preserve"> where banking hurdles persist. </w:t>
      </w:r>
    </w:p>
    <w:p w14:paraId="0AD0F0A0" w14:textId="77777777" w:rsidR="003736F9" w:rsidRDefault="003736F9" w:rsidP="003736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Double-down on private sector:</w:t>
      </w:r>
      <w:r>
        <w:rPr>
          <w:rFonts w:eastAsia="Times New Roman"/>
        </w:rPr>
        <w:t xml:space="preserve"> pharmacy-linked notification, e-Rx standards, quarterly feedback, and routine audits. </w:t>
      </w:r>
    </w:p>
    <w:p w14:paraId="0CABD0B7" w14:textId="77777777" w:rsidR="003736F9" w:rsidRDefault="003736F9">
      <w:pPr>
        <w:pStyle w:val="NormalWeb"/>
      </w:pPr>
      <w:r>
        <w:t xml:space="preserve">If you’d like, I can turn any of the above protocols into a </w:t>
      </w:r>
      <w:r>
        <w:rPr>
          <w:rStyle w:val="Strong"/>
        </w:rPr>
        <w:t>full ethics/operations pack</w:t>
      </w:r>
      <w:r>
        <w:t xml:space="preserve"> (CRFs, SOPs, budget, Gantt, and power </w:t>
      </w:r>
      <w:proofErr w:type="spellStart"/>
      <w:r>
        <w:t>calcs</w:t>
      </w:r>
      <w:proofErr w:type="spellEnd"/>
      <w:r>
        <w:t>) tailored to your state or district mix.</w:t>
      </w:r>
    </w:p>
    <w:p w14:paraId="4212BAE3" w14:textId="77777777" w:rsidR="003736F9" w:rsidRDefault="003736F9"/>
    <w:sectPr w:rsidR="00373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72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90A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813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366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215F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926E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F790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1E130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7141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C201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036B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76DB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8615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70E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44BF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51C2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293277">
    <w:abstractNumId w:val="11"/>
  </w:num>
  <w:num w:numId="2" w16cid:durableId="881092299">
    <w:abstractNumId w:val="6"/>
  </w:num>
  <w:num w:numId="3" w16cid:durableId="161507108">
    <w:abstractNumId w:val="9"/>
  </w:num>
  <w:num w:numId="4" w16cid:durableId="378018292">
    <w:abstractNumId w:val="1"/>
  </w:num>
  <w:num w:numId="5" w16cid:durableId="211236745">
    <w:abstractNumId w:val="10"/>
  </w:num>
  <w:num w:numId="6" w16cid:durableId="1685472010">
    <w:abstractNumId w:val="8"/>
  </w:num>
  <w:num w:numId="7" w16cid:durableId="716004143">
    <w:abstractNumId w:val="2"/>
  </w:num>
  <w:num w:numId="8" w16cid:durableId="779378875">
    <w:abstractNumId w:val="12"/>
  </w:num>
  <w:num w:numId="9" w16cid:durableId="1158232858">
    <w:abstractNumId w:val="5"/>
  </w:num>
  <w:num w:numId="10" w16cid:durableId="1537045151">
    <w:abstractNumId w:val="0"/>
  </w:num>
  <w:num w:numId="11" w16cid:durableId="1925452344">
    <w:abstractNumId w:val="14"/>
  </w:num>
  <w:num w:numId="12" w16cid:durableId="125468413">
    <w:abstractNumId w:val="7"/>
  </w:num>
  <w:num w:numId="13" w16cid:durableId="1855222685">
    <w:abstractNumId w:val="13"/>
  </w:num>
  <w:num w:numId="14" w16cid:durableId="1760251351">
    <w:abstractNumId w:val="4"/>
  </w:num>
  <w:num w:numId="15" w16cid:durableId="973678941">
    <w:abstractNumId w:val="15"/>
  </w:num>
  <w:num w:numId="16" w16cid:durableId="993483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6F9"/>
    <w:rsid w:val="0034534A"/>
    <w:rsid w:val="0037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DA31F"/>
  <w15:chartTrackingRefBased/>
  <w15:docId w15:val="{FF22CFCD-659B-044F-82C1-819A8ECE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6F9"/>
    <w:rPr>
      <w:rFonts w:cs="Tung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6F9"/>
    <w:rPr>
      <w:rFonts w:cs="Tung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6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36F9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736F9"/>
    <w:rPr>
      <w:b/>
      <w:bCs/>
    </w:rPr>
  </w:style>
  <w:style w:type="character" w:styleId="Emphasis">
    <w:name w:val="Emphasis"/>
    <w:basedOn w:val="DefaultParagraphFont"/>
    <w:uiPriority w:val="20"/>
    <w:qFormat/>
    <w:rsid w:val="003736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1538</Words>
  <Characters>8767</Characters>
  <Application>Microsoft Office Word</Application>
  <DocSecurity>0</DocSecurity>
  <Lines>73</Lines>
  <Paragraphs>20</Paragraphs>
  <ScaleCrop>false</ScaleCrop>
  <Company/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Siddalingaiah H S</dc:creator>
  <cp:keywords/>
  <dc:description/>
  <cp:lastModifiedBy>Dr Siddalingaiah H S</cp:lastModifiedBy>
  <cp:revision>2</cp:revision>
  <dcterms:created xsi:type="dcterms:W3CDTF">2025-09-05T02:55:00Z</dcterms:created>
  <dcterms:modified xsi:type="dcterms:W3CDTF">2025-09-05T02:55:00Z</dcterms:modified>
</cp:coreProperties>
</file>