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962CE" w14:textId="4506AF1E" w:rsidR="000A7120" w:rsidRPr="00026748" w:rsidRDefault="000A7120" w:rsidP="00026748">
      <w:pPr>
        <w:pStyle w:val="NormalWeb"/>
      </w:pPr>
      <w:r>
        <w:rPr>
          <w:rFonts w:eastAsia="Times New Roman"/>
        </w:rPr>
        <w:t>Challenges and Research Priorities in Achieving Tuberculosis Elimination in India: A Narrative Review</w:t>
      </w:r>
    </w:p>
    <w:p w14:paraId="001048DD" w14:textId="77777777" w:rsidR="000A7120" w:rsidRDefault="000A7120">
      <w:pPr>
        <w:pStyle w:val="Heading3"/>
        <w:rPr>
          <w:rFonts w:eastAsia="Times New Roman"/>
        </w:rPr>
      </w:pPr>
      <w:r>
        <w:rPr>
          <w:rFonts w:eastAsia="Times New Roman"/>
        </w:rPr>
        <w:t>Abstract</w:t>
      </w:r>
    </w:p>
    <w:p w14:paraId="0BC7F977" w14:textId="77777777" w:rsidR="000A7120" w:rsidRDefault="000A7120">
      <w:pPr>
        <w:pStyle w:val="NormalWeb"/>
      </w:pPr>
      <w:r>
        <w:t>India bears nearly one-quarter of global TB cases, and the 2025 elimination target under the NTEP remains elusive. Major obstacles include diagnostic delays, substantial economic burden, lagging private sector engagement, MDR-TB, and gaps in technological integration. This review presents the current evidence, quantifies critical issues, and outlines research priorities to drive elimination efforts forward.</w:t>
      </w:r>
    </w:p>
    <w:p w14:paraId="11BA0009" w14:textId="77777777" w:rsidR="000A7120" w:rsidRDefault="000A7120">
      <w:pPr>
        <w:pStyle w:val="NormalWeb"/>
      </w:pPr>
      <w:r>
        <w:rPr>
          <w:rStyle w:val="Strong"/>
        </w:rPr>
        <w:t>Keywords</w:t>
      </w:r>
      <w:r>
        <w:t>: Tuberculosis, India, elimination, diagnostic delay, catastrophic costs, MDR-TB, AI diagnostics, private sector.</w:t>
      </w:r>
    </w:p>
    <w:p w14:paraId="27A00413" w14:textId="77777777" w:rsidR="000A7120" w:rsidRDefault="000A71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DED941" wp14:editId="6E417478">
                <wp:extent cx="5731510" cy="1270"/>
                <wp:effectExtent l="0" t="31750" r="0" b="36830"/>
                <wp:docPr id="43581694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479D0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0C91407" w14:textId="77777777" w:rsidR="000A7120" w:rsidRDefault="000A7120">
      <w:pPr>
        <w:pStyle w:val="Heading3"/>
        <w:rPr>
          <w:rFonts w:eastAsia="Times New Roman"/>
        </w:rPr>
      </w:pPr>
      <w:r>
        <w:rPr>
          <w:rFonts w:eastAsia="Times New Roman"/>
        </w:rPr>
        <w:t>1. Introduction</w:t>
      </w:r>
    </w:p>
    <w:p w14:paraId="7D123102" w14:textId="77777777" w:rsidR="000A7120" w:rsidRDefault="000A7120">
      <w:pPr>
        <w:pStyle w:val="NormalWeb"/>
      </w:pPr>
      <w:r>
        <w:t xml:space="preserve">India accounts for approximately </w:t>
      </w:r>
      <w:r>
        <w:rPr>
          <w:rStyle w:val="Strong"/>
        </w:rPr>
        <w:t>28% of global TB cases</w:t>
      </w:r>
      <w:r>
        <w:t xml:space="preserve">, with over </w:t>
      </w:r>
      <w:r>
        <w:rPr>
          <w:rStyle w:val="Strong"/>
        </w:rPr>
        <w:t>2.8 million estimated incident cases</w:t>
      </w:r>
      <w:r>
        <w:t xml:space="preserve"> in 2022 . Despite enhanced interventions—like digital notification (</w:t>
      </w:r>
      <w:proofErr w:type="spellStart"/>
      <w:r>
        <w:t>Nikshay</w:t>
      </w:r>
      <w:proofErr w:type="spellEnd"/>
      <w:r>
        <w:t xml:space="preserve">), nutritional support, and new shorter regimens such as </w:t>
      </w:r>
      <w:proofErr w:type="spellStart"/>
      <w:r>
        <w:t>BPaLM</w:t>
      </w:r>
      <w:proofErr w:type="spellEnd"/>
      <w:r>
        <w:t>—the country is projected to fall short of the 2025 elimination goal .</w:t>
      </w:r>
    </w:p>
    <w:p w14:paraId="3DEF27DE" w14:textId="77777777" w:rsidR="000A7120" w:rsidRDefault="000A71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1E01F9" wp14:editId="7A3E9A53">
                <wp:extent cx="5731510" cy="1270"/>
                <wp:effectExtent l="0" t="31750" r="0" b="36830"/>
                <wp:docPr id="6420476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7E1983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AD93928" w14:textId="77777777" w:rsidR="000A7120" w:rsidRDefault="000A7120">
      <w:pPr>
        <w:pStyle w:val="Heading3"/>
        <w:rPr>
          <w:rFonts w:eastAsia="Times New Roman"/>
        </w:rPr>
      </w:pPr>
      <w:r>
        <w:rPr>
          <w:rFonts w:eastAsia="Times New Roman"/>
        </w:rPr>
        <w:t>2. Methods</w:t>
      </w:r>
    </w:p>
    <w:p w14:paraId="1A726E47" w14:textId="77777777" w:rsidR="000A7120" w:rsidRDefault="000A7120">
      <w:pPr>
        <w:pStyle w:val="NormalWeb"/>
      </w:pPr>
      <w:r>
        <w:t xml:space="preserve">We reviewed literature (2020–mid-2025) from PubMed, India TB Reports, and recent reports in </w:t>
      </w:r>
      <w:r>
        <w:rPr>
          <w:rStyle w:val="Emphasis"/>
        </w:rPr>
        <w:t>The Hindu</w:t>
      </w:r>
      <w:r>
        <w:t xml:space="preserve">, </w:t>
      </w:r>
      <w:r>
        <w:rPr>
          <w:rStyle w:val="Emphasis"/>
        </w:rPr>
        <w:t>Times of India</w:t>
      </w:r>
      <w:r>
        <w:t>, and WHO. Search terms included “TB elimination India,” “diagnostic delay TB India,” “AI CXR India,” “catastrophic cost TB India,” and “</w:t>
      </w:r>
      <w:proofErr w:type="spellStart"/>
      <w:r>
        <w:t>BPaLM</w:t>
      </w:r>
      <w:proofErr w:type="spellEnd"/>
      <w:r>
        <w:t xml:space="preserve"> rollout India.”</w:t>
      </w:r>
    </w:p>
    <w:p w14:paraId="32FD5CDB" w14:textId="77777777" w:rsidR="000A7120" w:rsidRDefault="000A71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EB35F6F" wp14:editId="5260F3C6">
                <wp:extent cx="5731510" cy="1270"/>
                <wp:effectExtent l="0" t="31750" r="0" b="36830"/>
                <wp:docPr id="3814617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EEFE2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CE006D7" w14:textId="77777777" w:rsidR="000A7120" w:rsidRDefault="000A7120">
      <w:pPr>
        <w:pStyle w:val="Heading3"/>
        <w:rPr>
          <w:rFonts w:eastAsia="Times New Roman"/>
        </w:rPr>
      </w:pPr>
      <w:r>
        <w:rPr>
          <w:rFonts w:eastAsia="Times New Roman"/>
        </w:rPr>
        <w:t>3. Critical Challenges</w:t>
      </w:r>
    </w:p>
    <w:p w14:paraId="7973324E" w14:textId="77777777" w:rsidR="000A7120" w:rsidRDefault="000A7120">
      <w:pPr>
        <w:pStyle w:val="Heading4"/>
        <w:rPr>
          <w:rFonts w:eastAsia="Times New Roman"/>
        </w:rPr>
      </w:pPr>
      <w:r>
        <w:rPr>
          <w:rFonts w:eastAsia="Times New Roman"/>
        </w:rPr>
        <w:t>3.1 Diagnostic delays &amp; pre-treatment burden</w:t>
      </w:r>
    </w:p>
    <w:p w14:paraId="535DD01F" w14:textId="77777777" w:rsidR="000A7120" w:rsidRDefault="000A7120">
      <w:pPr>
        <w:pStyle w:val="NormalWeb"/>
      </w:pPr>
      <w:r>
        <w:t xml:space="preserve">A multicentre study (n=1,482) across four states (2019–22) reported </w:t>
      </w:r>
      <w:r>
        <w:rPr>
          <w:rStyle w:val="Strong"/>
        </w:rPr>
        <w:t>delays of 7–9 weeks</w:t>
      </w:r>
      <w:r>
        <w:t xml:space="preserve"> from symptom onset to treatment, about </w:t>
      </w:r>
      <w:r>
        <w:rPr>
          <w:rStyle w:val="Strong"/>
        </w:rPr>
        <w:t>double the acceptable 4 weeks</w:t>
      </w:r>
      <w:r>
        <w:t xml:space="preserve">, leading to </w:t>
      </w:r>
      <w:r>
        <w:rPr>
          <w:rStyle w:val="Strong"/>
        </w:rPr>
        <w:t>30–61%</w:t>
      </w:r>
      <w:r>
        <w:t xml:space="preserve"> of patients experiencing </w:t>
      </w:r>
      <w:r>
        <w:rPr>
          <w:rStyle w:val="Strong"/>
        </w:rPr>
        <w:t>catastrophic costs</w:t>
      </w:r>
      <w:r>
        <w:t xml:space="preserve"> ( &gt;20% of annual income) before even starting treatment .</w:t>
      </w:r>
      <w:r>
        <w:br/>
        <w:t xml:space="preserve">A factor analysis highlighted that </w:t>
      </w:r>
      <w:r>
        <w:rPr>
          <w:rStyle w:val="Strong"/>
        </w:rPr>
        <w:t>44–59%</w:t>
      </w:r>
      <w:r>
        <w:t xml:space="preserve"> of totals costs were pre-treatment, due to repeated provider visits and testing .</w:t>
      </w:r>
    </w:p>
    <w:p w14:paraId="510623C8" w14:textId="77777777" w:rsidR="000A7120" w:rsidRDefault="000A7120">
      <w:pPr>
        <w:pStyle w:val="Heading4"/>
        <w:rPr>
          <w:rFonts w:eastAsia="Times New Roman"/>
        </w:rPr>
      </w:pPr>
      <w:r>
        <w:rPr>
          <w:rFonts w:eastAsia="Times New Roman"/>
        </w:rPr>
        <w:t>3.2 Private-sector notification gaps</w:t>
      </w:r>
    </w:p>
    <w:p w14:paraId="7397866C" w14:textId="77777777" w:rsidR="000A7120" w:rsidRDefault="000A7120">
      <w:pPr>
        <w:pStyle w:val="NormalWeb"/>
      </w:pPr>
      <w:r>
        <w:t xml:space="preserve">While private sector notification rose from </w:t>
      </w:r>
      <w:r>
        <w:rPr>
          <w:rStyle w:val="Strong"/>
        </w:rPr>
        <w:t>21% in 2017 to 33% in 2023</w:t>
      </w:r>
      <w:r>
        <w:t xml:space="preserve">, it still lags behind NSP 2022–25 targets (35–56%) . With </w:t>
      </w:r>
      <w:r>
        <w:rPr>
          <w:rStyle w:val="Strong"/>
        </w:rPr>
        <w:t>50–70%</w:t>
      </w:r>
      <w:r>
        <w:t xml:space="preserve"> of patients initially seeking private care, this under-reporting continues to undermine surveillance .</w:t>
      </w:r>
    </w:p>
    <w:p w14:paraId="170CC41D" w14:textId="77777777" w:rsidR="000A7120" w:rsidRDefault="000A7120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3.3 MDR-TB burden &amp; new regimens</w:t>
      </w:r>
    </w:p>
    <w:p w14:paraId="5FCC4F25" w14:textId="77777777" w:rsidR="000A7120" w:rsidRDefault="000A7120">
      <w:pPr>
        <w:pStyle w:val="NormalWeb"/>
      </w:pPr>
      <w:r>
        <w:t xml:space="preserve">India has the highest DR-TB burden globally, with an estimated </w:t>
      </w:r>
      <w:r>
        <w:rPr>
          <w:rStyle w:val="Strong"/>
        </w:rPr>
        <w:t>110,000 new MDR-TB cases annually</w:t>
      </w:r>
      <w:r>
        <w:t xml:space="preserve">; 10–15% may progress to XDR-TB . In September 2024, the Ministry approved the </w:t>
      </w:r>
      <w:proofErr w:type="spellStart"/>
      <w:r>
        <w:rPr>
          <w:rStyle w:val="Strong"/>
        </w:rPr>
        <w:t>BPaLM</w:t>
      </w:r>
      <w:proofErr w:type="spellEnd"/>
      <w:r>
        <w:t xml:space="preserve"> (6-month) regimen under NTEP, expected to benefit ~75,000 DR-TB patients with better efficacy and tolerability . In Mumbai, over 1,000 patients have received </w:t>
      </w:r>
      <w:proofErr w:type="spellStart"/>
      <w:r>
        <w:t>BPaLM</w:t>
      </w:r>
      <w:proofErr w:type="spellEnd"/>
      <w:r>
        <w:t>, seeing faster clearance though with mild adverse events (e.g. hepatitis, neuropathy) .</w:t>
      </w:r>
    </w:p>
    <w:p w14:paraId="3C052AA3" w14:textId="77777777" w:rsidR="000A7120" w:rsidRDefault="000A7120">
      <w:pPr>
        <w:pStyle w:val="Heading4"/>
        <w:rPr>
          <w:rFonts w:eastAsia="Times New Roman"/>
        </w:rPr>
      </w:pPr>
      <w:r>
        <w:rPr>
          <w:rFonts w:eastAsia="Times New Roman"/>
        </w:rPr>
        <w:t>3.4 Economic burden persists</w:t>
      </w:r>
    </w:p>
    <w:p w14:paraId="2D419425" w14:textId="77777777" w:rsidR="000A7120" w:rsidRDefault="000A7120">
      <w:pPr>
        <w:pStyle w:val="NormalWeb"/>
      </w:pPr>
      <w:r>
        <w:t xml:space="preserve">Even under NTEP “free care,” costs accumulate. One ICMR-supported study (n ~1,400) found </w:t>
      </w:r>
      <w:r>
        <w:rPr>
          <w:rStyle w:val="Strong"/>
        </w:rPr>
        <w:t>median patient expenditure of ₹32,000</w:t>
      </w:r>
      <w:r>
        <w:t xml:space="preserve">, with </w:t>
      </w:r>
      <w:r>
        <w:rPr>
          <w:rStyle w:val="Strong"/>
        </w:rPr>
        <w:t>45% experiencing catastrophic costs</w:t>
      </w:r>
      <w:r>
        <w:t>, largely due to lost productivity and indirect costs .</w:t>
      </w:r>
    </w:p>
    <w:p w14:paraId="47DD1C9E" w14:textId="77777777" w:rsidR="000A7120" w:rsidRDefault="000A7120">
      <w:pPr>
        <w:pStyle w:val="Heading4"/>
        <w:rPr>
          <w:rFonts w:eastAsia="Times New Roman"/>
        </w:rPr>
      </w:pPr>
      <w:r>
        <w:rPr>
          <w:rFonts w:eastAsia="Times New Roman"/>
        </w:rPr>
        <w:t>3.5 Diagnostic innovation: AI-CXR &amp; mobile screening</w:t>
      </w:r>
    </w:p>
    <w:p w14:paraId="089FB6B0" w14:textId="77777777" w:rsidR="000A7120" w:rsidRDefault="000A7120" w:rsidP="000A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Mumbai hospitals and mobile vans using </w:t>
      </w:r>
      <w:proofErr w:type="spellStart"/>
      <w:r>
        <w:rPr>
          <w:rFonts w:eastAsia="Times New Roman"/>
        </w:rPr>
        <w:t>qXR</w:t>
      </w:r>
      <w:proofErr w:type="spellEnd"/>
      <w:r>
        <w:rPr>
          <w:rFonts w:eastAsia="Times New Roman"/>
        </w:rPr>
        <w:t xml:space="preserve"> AI detected a </w:t>
      </w:r>
      <w:r>
        <w:rPr>
          <w:rStyle w:val="Strong"/>
          <w:rFonts w:eastAsia="Times New Roman"/>
        </w:rPr>
        <w:t>13% rise in additional TB cases</w:t>
      </w:r>
      <w:r>
        <w:rPr>
          <w:rFonts w:eastAsia="Times New Roman"/>
        </w:rPr>
        <w:t xml:space="preserve">, and </w:t>
      </w:r>
      <w:proofErr w:type="spellStart"/>
      <w:r>
        <w:rPr>
          <w:rFonts w:eastAsia="Times New Roman"/>
        </w:rPr>
        <w:t>GeneXpert</w:t>
      </w:r>
      <w:proofErr w:type="spellEnd"/>
      <w:r>
        <w:rPr>
          <w:rFonts w:eastAsia="Times New Roman"/>
        </w:rPr>
        <w:t xml:space="preserve"> positivity improved by 18–27%.</w:t>
      </w:r>
    </w:p>
    <w:p w14:paraId="723036E1" w14:textId="77777777" w:rsidR="000A7120" w:rsidRDefault="000A7120" w:rsidP="000A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 PPP model using mobile digital CXR in van settings yielded a </w:t>
      </w:r>
      <w:r>
        <w:rPr>
          <w:rStyle w:val="Strong"/>
          <w:rFonts w:eastAsia="Times New Roman"/>
        </w:rPr>
        <w:t>19.6% diagnostic yield</w:t>
      </w:r>
      <w:r>
        <w:rPr>
          <w:rFonts w:eastAsia="Times New Roman"/>
        </w:rPr>
        <w:t xml:space="preserve"> among presumptive TB cases (161 microbiologically confirmed + 106 clinically diagnosed out of 2,973 screened)</w:t>
      </w:r>
      <w:r>
        <w:rPr>
          <w:rFonts w:ascii="Arial" w:eastAsia="Times New Roman" w:hAnsi="Arial" w:cs="Arial"/>
        </w:rPr>
        <w:t> </w:t>
      </w:r>
      <w:r>
        <w:rPr>
          <w:rFonts w:eastAsia="Times New Roman"/>
        </w:rPr>
        <w:t>.</w:t>
      </w:r>
    </w:p>
    <w:p w14:paraId="3EB657BD" w14:textId="77777777" w:rsidR="000A7120" w:rsidRDefault="000A7120" w:rsidP="000A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 remote Chennai, the </w:t>
      </w:r>
      <w:proofErr w:type="spellStart"/>
      <w:r>
        <w:rPr>
          <w:rFonts w:eastAsia="Times New Roman"/>
        </w:rPr>
        <w:t>Genki</w:t>
      </w:r>
      <w:proofErr w:type="spellEnd"/>
      <w:r>
        <w:rPr>
          <w:rFonts w:eastAsia="Times New Roman"/>
        </w:rPr>
        <w:t xml:space="preserve"> AI tool deployed in mobile units achieved </w:t>
      </w:r>
      <w:r>
        <w:rPr>
          <w:rStyle w:val="Strong"/>
          <w:rFonts w:eastAsia="Times New Roman"/>
        </w:rPr>
        <w:t>98% sensitivity</w:t>
      </w:r>
      <w:r>
        <w:rPr>
          <w:rFonts w:eastAsia="Times New Roman"/>
        </w:rPr>
        <w:t xml:space="preserve"> and </w:t>
      </w:r>
      <w:r>
        <w:rPr>
          <w:rStyle w:val="Strong"/>
          <w:rFonts w:eastAsia="Times New Roman"/>
        </w:rPr>
        <w:t>~97% specificity</w:t>
      </w:r>
      <w:r>
        <w:rPr>
          <w:rFonts w:eastAsia="Times New Roman"/>
        </w:rPr>
        <w:t xml:space="preserve"> in detecting TB among 25,598 screened individuals</w:t>
      </w:r>
      <w:r>
        <w:rPr>
          <w:rFonts w:ascii="Arial" w:eastAsia="Times New Roman" w:hAnsi="Arial" w:cs="Arial"/>
        </w:rPr>
        <w:t> </w:t>
      </w:r>
      <w:r>
        <w:rPr>
          <w:rFonts w:eastAsia="Times New Roman"/>
        </w:rPr>
        <w:t>.</w:t>
      </w:r>
    </w:p>
    <w:p w14:paraId="7450CD31" w14:textId="77777777" w:rsidR="000A7120" w:rsidRDefault="000A7120">
      <w:pPr>
        <w:pStyle w:val="Heading4"/>
        <w:rPr>
          <w:rFonts w:eastAsia="Times New Roman"/>
        </w:rPr>
      </w:pPr>
      <w:r>
        <w:rPr>
          <w:rFonts w:eastAsia="Times New Roman"/>
        </w:rPr>
        <w:t>3.6 Case-finding in urban slums</w:t>
      </w:r>
    </w:p>
    <w:p w14:paraId="5ADCC157" w14:textId="77777777" w:rsidR="000A7120" w:rsidRDefault="000A7120">
      <w:pPr>
        <w:pStyle w:val="NormalWeb"/>
      </w:pPr>
      <w:r>
        <w:t>In Delhi’s slum screening campaign using AI-enabled portable X-rays (21 units), 37 TB cases were detected from 9,200 individuals screened, highlighting the utility of targeted screening among high-risk, underserved populations .</w:t>
      </w:r>
    </w:p>
    <w:p w14:paraId="61F22010" w14:textId="77777777" w:rsidR="000A7120" w:rsidRDefault="000A71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C74D396" wp14:editId="58E60778">
                <wp:extent cx="5731510" cy="1270"/>
                <wp:effectExtent l="0" t="31750" r="0" b="36830"/>
                <wp:docPr id="6421703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144BA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0C4F083" w14:textId="77777777" w:rsidR="000A7120" w:rsidRDefault="000A7120">
      <w:pPr>
        <w:pStyle w:val="Heading3"/>
        <w:rPr>
          <w:rFonts w:eastAsia="Times New Roman"/>
        </w:rPr>
      </w:pPr>
      <w:r>
        <w:rPr>
          <w:rFonts w:eastAsia="Times New Roman"/>
        </w:rPr>
        <w:t>4. Research Priorities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6669"/>
      </w:tblGrid>
      <w:tr w:rsidR="000A7120" w14:paraId="59778F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B9E3E" w14:textId="77777777" w:rsidR="000A7120" w:rsidRDefault="000A712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6028364" w14:textId="77777777" w:rsidR="000A7120" w:rsidRDefault="000A712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 Topics</w:t>
            </w:r>
          </w:p>
        </w:tc>
      </w:tr>
      <w:tr w:rsidR="000A7120" w14:paraId="360ADC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86123" w14:textId="77777777" w:rsidR="000A7120" w:rsidRDefault="000A71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Diagnostics</w:t>
            </w:r>
          </w:p>
        </w:tc>
        <w:tc>
          <w:tcPr>
            <w:tcW w:w="0" w:type="auto"/>
            <w:vAlign w:val="center"/>
            <w:hideMark/>
          </w:tcPr>
          <w:p w14:paraId="5443546E" w14:textId="77777777" w:rsidR="000A7120" w:rsidRDefault="000A71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Mobile AI-CXR platforms, TB biomarker panels, </w:t>
            </w:r>
            <w:proofErr w:type="spellStart"/>
            <w:r>
              <w:rPr>
                <w:rFonts w:eastAsia="Times New Roman"/>
              </w:rPr>
              <w:t>pediatric</w:t>
            </w:r>
            <w:proofErr w:type="spellEnd"/>
            <w:r>
              <w:rPr>
                <w:rFonts w:eastAsia="Times New Roman"/>
              </w:rPr>
              <w:t xml:space="preserve"> non-sputum diagnostics</w:t>
            </w:r>
          </w:p>
        </w:tc>
      </w:tr>
      <w:tr w:rsidR="000A7120" w14:paraId="680CAB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E5B01" w14:textId="77777777" w:rsidR="000A7120" w:rsidRDefault="000A71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10E62456" w14:textId="77777777" w:rsidR="000A7120" w:rsidRDefault="000A712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BPaLM</w:t>
            </w:r>
            <w:proofErr w:type="spellEnd"/>
            <w:r>
              <w:rPr>
                <w:rFonts w:eastAsia="Times New Roman"/>
              </w:rPr>
              <w:t xml:space="preserve"> safety/monitoring, resistance surveillance (e.g., targeted sequencing)</w:t>
            </w:r>
            <w:r>
              <w:rPr>
                <w:rFonts w:ascii="Arial" w:eastAsia="Times New Roman" w:hAnsi="Arial" w:cs="Arial"/>
              </w:rPr>
              <w:t> </w:t>
            </w:r>
          </w:p>
        </w:tc>
      </w:tr>
      <w:tr w:rsidR="000A7120" w14:paraId="29F1E2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C85DE" w14:textId="77777777" w:rsidR="000A7120" w:rsidRDefault="000A71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Health systems</w:t>
            </w:r>
          </w:p>
        </w:tc>
        <w:tc>
          <w:tcPr>
            <w:tcW w:w="0" w:type="auto"/>
            <w:vAlign w:val="center"/>
            <w:hideMark/>
          </w:tcPr>
          <w:p w14:paraId="007880CD" w14:textId="77777777" w:rsidR="000A7120" w:rsidRDefault="000A71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Private sector notification strategies, DBT efficiency, adherence technologies</w:t>
            </w:r>
          </w:p>
        </w:tc>
      </w:tr>
      <w:tr w:rsidR="000A7120" w14:paraId="5A7E31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FEBC3" w14:textId="77777777" w:rsidR="000A7120" w:rsidRDefault="000A71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Economic interventions</w:t>
            </w:r>
          </w:p>
        </w:tc>
        <w:tc>
          <w:tcPr>
            <w:tcW w:w="0" w:type="auto"/>
            <w:vAlign w:val="center"/>
            <w:hideMark/>
          </w:tcPr>
          <w:p w14:paraId="29847B62" w14:textId="77777777" w:rsidR="000A7120" w:rsidRDefault="000A71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Cash transfers, pre-treatment cost mitigation, social protection evaluations</w:t>
            </w:r>
          </w:p>
        </w:tc>
      </w:tr>
      <w:tr w:rsidR="000A7120" w14:paraId="47F53A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14545" w14:textId="77777777" w:rsidR="000A7120" w:rsidRDefault="000A71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Community approaches</w:t>
            </w:r>
          </w:p>
        </w:tc>
        <w:tc>
          <w:tcPr>
            <w:tcW w:w="0" w:type="auto"/>
            <w:vAlign w:val="center"/>
            <w:hideMark/>
          </w:tcPr>
          <w:p w14:paraId="1B3B2B34" w14:textId="77777777" w:rsidR="000A7120" w:rsidRDefault="000A71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Awareness campaigns, peer support in slums/prisons/migrant settings</w:t>
            </w:r>
          </w:p>
        </w:tc>
      </w:tr>
    </w:tbl>
    <w:p w14:paraId="25C43F29" w14:textId="77777777" w:rsidR="000A7120" w:rsidRDefault="000A71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B968AE" wp14:editId="62F185C5">
                <wp:extent cx="5731510" cy="1270"/>
                <wp:effectExtent l="0" t="31750" r="0" b="36830"/>
                <wp:docPr id="46925107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FBF93B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4B7D7B1" w14:textId="77777777" w:rsidR="000A7120" w:rsidRDefault="000A7120">
      <w:pPr>
        <w:pStyle w:val="Heading3"/>
        <w:rPr>
          <w:rFonts w:eastAsia="Times New Roman"/>
        </w:rPr>
      </w:pPr>
      <w:r>
        <w:rPr>
          <w:rFonts w:eastAsia="Times New Roman"/>
        </w:rPr>
        <w:t>5. Conclusion</w:t>
      </w:r>
    </w:p>
    <w:p w14:paraId="4BDA8C4C" w14:textId="77777777" w:rsidR="000A7120" w:rsidRDefault="000A7120">
      <w:pPr>
        <w:pStyle w:val="NormalWeb"/>
      </w:pPr>
      <w:r>
        <w:t xml:space="preserve">India’s progress against TB has improved, but elimination by 2025 remains unlikely. It must urgently tackle </w:t>
      </w:r>
      <w:r>
        <w:rPr>
          <w:rStyle w:val="Strong"/>
        </w:rPr>
        <w:t>diagnostic delays</w:t>
      </w:r>
      <w:r>
        <w:t xml:space="preserve">, </w:t>
      </w:r>
      <w:r>
        <w:rPr>
          <w:rStyle w:val="Strong"/>
        </w:rPr>
        <w:t>financial hardship</w:t>
      </w:r>
      <w:r>
        <w:t xml:space="preserve">, </w:t>
      </w:r>
      <w:r>
        <w:rPr>
          <w:rStyle w:val="Strong"/>
        </w:rPr>
        <w:t>MDR-TB</w:t>
      </w:r>
      <w:r>
        <w:t xml:space="preserve">, and </w:t>
      </w:r>
      <w:r>
        <w:rPr>
          <w:rStyle w:val="Strong"/>
        </w:rPr>
        <w:t>under-leveraged AI tools and private sector</w:t>
      </w:r>
      <w:r>
        <w:t>. A reinforced research agenda, aligned with pragmatic interventions, is essential to recalibrate the TB elimination drive beyond 2025.</w:t>
      </w:r>
    </w:p>
    <w:p w14:paraId="1A452823" w14:textId="77777777" w:rsidR="000A7120" w:rsidRDefault="000A71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A5B6FF" wp14:editId="7E6A4C12">
                <wp:extent cx="5731510" cy="1270"/>
                <wp:effectExtent l="0" t="31750" r="0" b="36830"/>
                <wp:docPr id="111431476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0EEE3B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A218919" w14:textId="77777777" w:rsidR="000A7120" w:rsidRDefault="000A7120">
      <w:pPr>
        <w:pStyle w:val="Heading3"/>
        <w:rPr>
          <w:rFonts w:eastAsia="Times New Roman"/>
        </w:rPr>
      </w:pPr>
      <w:r>
        <w:rPr>
          <w:rFonts w:eastAsia="Times New Roman"/>
        </w:rPr>
        <w:t>References (Vancouver style)</w:t>
      </w:r>
    </w:p>
    <w:p w14:paraId="239581BD" w14:textId="77777777" w:rsidR="000A7120" w:rsidRDefault="000A7120" w:rsidP="000A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Study on catastrophic costs before treatment initiation. Chatterjee S et al. PLOS Global Public Health. 2024. </w:t>
      </w:r>
    </w:p>
    <w:p w14:paraId="399EFA97" w14:textId="77777777" w:rsidR="000A7120" w:rsidRDefault="000A7120" w:rsidP="000A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Delay and cost breakdown. Chatterjee S et al. (PMC) 2025. </w:t>
      </w:r>
    </w:p>
    <w:p w14:paraId="23003EE9" w14:textId="77777777" w:rsidR="000A7120" w:rsidRDefault="000A7120" w:rsidP="000A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Private sector notification stats. </w:t>
      </w:r>
      <w:r>
        <w:rPr>
          <w:rStyle w:val="Emphasis"/>
          <w:rFonts w:eastAsia="Times New Roman"/>
        </w:rPr>
        <w:t>The Hindu</w:t>
      </w:r>
      <w:r>
        <w:rPr>
          <w:rFonts w:eastAsia="Times New Roman"/>
        </w:rPr>
        <w:t xml:space="preserve">. 2024. </w:t>
      </w:r>
    </w:p>
    <w:p w14:paraId="5B7A3221" w14:textId="77777777" w:rsidR="000A7120" w:rsidRDefault="000A7120" w:rsidP="000A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MDR-TB case load and </w:t>
      </w:r>
      <w:proofErr w:type="spellStart"/>
      <w:r>
        <w:rPr>
          <w:rFonts w:eastAsia="Times New Roman"/>
        </w:rPr>
        <w:t>BPaLM</w:t>
      </w:r>
      <w:proofErr w:type="spellEnd"/>
      <w:r>
        <w:rPr>
          <w:rFonts w:eastAsia="Times New Roman"/>
        </w:rPr>
        <w:t xml:space="preserve"> approval. Lung India; Ministry of Health, 2024. </w:t>
      </w:r>
    </w:p>
    <w:p w14:paraId="79E212BF" w14:textId="77777777" w:rsidR="000A7120" w:rsidRDefault="000A7120" w:rsidP="000A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BPaLM</w:t>
      </w:r>
      <w:proofErr w:type="spellEnd"/>
      <w:r>
        <w:rPr>
          <w:rFonts w:eastAsia="Times New Roman"/>
        </w:rPr>
        <w:t xml:space="preserve"> rollout data. </w:t>
      </w:r>
      <w:r>
        <w:rPr>
          <w:rStyle w:val="Emphasis"/>
          <w:rFonts w:eastAsia="Times New Roman"/>
        </w:rPr>
        <w:t>Times of India</w:t>
      </w:r>
      <w:r>
        <w:rPr>
          <w:rFonts w:eastAsia="Times New Roman"/>
        </w:rPr>
        <w:t xml:space="preserve">. 2025. </w:t>
      </w:r>
    </w:p>
    <w:p w14:paraId="70F625C4" w14:textId="77777777" w:rsidR="000A7120" w:rsidRDefault="000A7120" w:rsidP="000A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Financial burden on patients. </w:t>
      </w:r>
      <w:r>
        <w:rPr>
          <w:rStyle w:val="Emphasis"/>
          <w:rFonts w:eastAsia="Times New Roman"/>
        </w:rPr>
        <w:t>Times of India</w:t>
      </w:r>
      <w:r>
        <w:rPr>
          <w:rFonts w:eastAsia="Times New Roman"/>
        </w:rPr>
        <w:t xml:space="preserve">. 2024. </w:t>
      </w:r>
    </w:p>
    <w:p w14:paraId="2E13BE20" w14:textId="77777777" w:rsidR="000A7120" w:rsidRDefault="000A7120" w:rsidP="000A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AI-CXR in Mumbai. </w:t>
      </w:r>
      <w:r>
        <w:rPr>
          <w:rStyle w:val="Emphasis"/>
          <w:rFonts w:eastAsia="Times New Roman"/>
        </w:rPr>
        <w:t>The Hindu</w:t>
      </w:r>
      <w:r>
        <w:rPr>
          <w:rFonts w:eastAsia="Times New Roman"/>
        </w:rPr>
        <w:t xml:space="preserve">. 2023. </w:t>
      </w:r>
    </w:p>
    <w:p w14:paraId="46719715" w14:textId="77777777" w:rsidR="000A7120" w:rsidRDefault="000A7120" w:rsidP="000A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Mobile CXR PPP model. </w:t>
      </w:r>
      <w:r>
        <w:rPr>
          <w:rStyle w:val="Emphasis"/>
          <w:rFonts w:eastAsia="Times New Roman"/>
        </w:rPr>
        <w:t>PubMed</w:t>
      </w:r>
      <w:r>
        <w:rPr>
          <w:rFonts w:eastAsia="Times New Roman"/>
        </w:rPr>
        <w:t xml:space="preserve">. 2020. </w:t>
      </w:r>
    </w:p>
    <w:p w14:paraId="0EBDE915" w14:textId="77777777" w:rsidR="000A7120" w:rsidRDefault="000A7120" w:rsidP="000A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Genki</w:t>
      </w:r>
      <w:proofErr w:type="spellEnd"/>
      <w:r>
        <w:rPr>
          <w:rFonts w:eastAsia="Times New Roman"/>
        </w:rPr>
        <w:t xml:space="preserve"> AI in Chennai. PMC. 2022. </w:t>
      </w:r>
    </w:p>
    <w:p w14:paraId="26A3860D" w14:textId="77777777" w:rsidR="000A7120" w:rsidRDefault="000A7120" w:rsidP="000A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Delhi urban screening outcomes. </w:t>
      </w:r>
      <w:r>
        <w:rPr>
          <w:rStyle w:val="Emphasis"/>
          <w:rFonts w:eastAsia="Times New Roman"/>
        </w:rPr>
        <w:t>Times of India</w:t>
      </w:r>
      <w:r>
        <w:rPr>
          <w:rFonts w:eastAsia="Times New Roman"/>
        </w:rPr>
        <w:t xml:space="preserve">. 2025. </w:t>
      </w:r>
    </w:p>
    <w:p w14:paraId="6A5A55C5" w14:textId="4D81D051" w:rsidR="000A7120" w:rsidRDefault="000A7120">
      <w:pPr>
        <w:spacing w:after="0"/>
        <w:rPr>
          <w:rFonts w:eastAsia="Times New Roman"/>
        </w:rPr>
      </w:pPr>
    </w:p>
    <w:p w14:paraId="2699577C" w14:textId="39900D68" w:rsidR="000A7120" w:rsidRDefault="000A7120">
      <w:pPr>
        <w:pStyle w:val="NormalWeb"/>
      </w:pPr>
    </w:p>
    <w:p w14:paraId="63BDFF9E" w14:textId="2C78DC27" w:rsidR="000A7120" w:rsidRDefault="000A7120">
      <w:pPr>
        <w:rPr>
          <w:rFonts w:eastAsia="Times New Roman"/>
        </w:rPr>
      </w:pPr>
    </w:p>
    <w:p w14:paraId="36481D78" w14:textId="77777777" w:rsidR="000A7120" w:rsidRDefault="000A7120"/>
    <w:sectPr w:rsidR="000A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860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E5C4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522411">
    <w:abstractNumId w:val="0"/>
  </w:num>
  <w:num w:numId="2" w16cid:durableId="737291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20"/>
    <w:rsid w:val="00026748"/>
    <w:rsid w:val="000A7120"/>
    <w:rsid w:val="006D0505"/>
    <w:rsid w:val="0075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A1B2"/>
  <w15:chartTrackingRefBased/>
  <w15:docId w15:val="{F98566F5-DC8B-D741-8F36-5833EAF8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120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120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1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A712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A7120"/>
    <w:rPr>
      <w:b/>
      <w:bCs/>
    </w:rPr>
  </w:style>
  <w:style w:type="character" w:styleId="Emphasis">
    <w:name w:val="Emphasis"/>
    <w:basedOn w:val="DefaultParagraphFont"/>
    <w:uiPriority w:val="20"/>
    <w:qFormat/>
    <w:rsid w:val="000A71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Siddalingaiah H S</dc:creator>
  <cp:keywords/>
  <dc:description/>
  <cp:lastModifiedBy>Dr Siddalingaiah H S</cp:lastModifiedBy>
  <cp:revision>2</cp:revision>
  <dcterms:created xsi:type="dcterms:W3CDTF">2025-09-05T03:42:00Z</dcterms:created>
  <dcterms:modified xsi:type="dcterms:W3CDTF">2025-09-05T03:42:00Z</dcterms:modified>
</cp:coreProperties>
</file>