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AED2" w14:textId="5E49C2A9" w:rsidR="00E250FB" w:rsidRDefault="00E250FB" w:rsidP="00E250FB">
      <w:pPr>
        <w:pStyle w:val="Heading3"/>
        <w:rPr>
          <w:lang w:val="en-US"/>
        </w:rPr>
      </w:pPr>
      <w:r>
        <w:rPr>
          <w:lang w:val="en-US"/>
        </w:rPr>
        <w:t>Abstract from final academic version</w:t>
      </w:r>
    </w:p>
    <w:p w14:paraId="33DF58FF" w14:textId="77777777" w:rsidR="00E250FB" w:rsidRDefault="00E250FB" w:rsidP="00E250FB">
      <w:pPr>
        <w:pStyle w:val="Heading3"/>
      </w:pPr>
      <w:r>
        <w:t>Background</w:t>
      </w:r>
    </w:p>
    <w:p w14:paraId="1A660C3A" w14:textId="77777777" w:rsidR="00E250FB" w:rsidRDefault="00E250FB" w:rsidP="00E250FB">
      <w:r>
        <w:t>Despite substantial advancements in India's tuberculosis (TB) elimination programme, a significant disparity persists between World Health Organization (WHO) incidence estimates and reported notifications. This study aims to quantify missed TB cases at the subnational level and elucidate the analytical framework to inform alignment with the WHO End TB Strategy.</w:t>
      </w:r>
    </w:p>
    <w:p w14:paraId="57EFBB86" w14:textId="77777777" w:rsidR="00E250FB" w:rsidRDefault="00E250FB" w:rsidP="00E250FB">
      <w:pPr>
        <w:pStyle w:val="Heading3"/>
      </w:pPr>
      <w:r>
        <w:t>Methods</w:t>
      </w:r>
    </w:p>
    <w:p w14:paraId="22F9F533" w14:textId="77777777" w:rsidR="00E250FB" w:rsidRDefault="00E250FB" w:rsidP="00E250FB">
      <w:r>
        <w:t xml:space="preserve">We integrated WHO TB data (2024), Ni-kshay state notifications (2020–2023 plus January–October 2024), India TB Report cascade indicators, and NFHS-5 socio-demographic risk factors. Notifications were scaled to align with national WHO totals, with detection probabilities </w:t>
      </w:r>
      <w:proofErr w:type="spellStart"/>
      <w:r>
        <w:t>modeled</w:t>
      </w:r>
      <w:proofErr w:type="spellEnd"/>
      <w:r>
        <w:t xml:space="preserve"> via logistic functions of composite system-strength and epidemiological risk scores. Deterministic and Bayesian hierarchical models were employed to estimate incidence and detection, incorporating uncertainty quantification. Composite scores were constructed, calibration processes detailed, and validation checks performed.</w:t>
      </w:r>
    </w:p>
    <w:p w14:paraId="6A40601E" w14:textId="77777777" w:rsidR="00E250FB" w:rsidRDefault="00E250FB" w:rsidP="00E250FB">
      <w:pPr>
        <w:pStyle w:val="Heading3"/>
      </w:pPr>
      <w:r>
        <w:t>Results</w:t>
      </w:r>
    </w:p>
    <w:p w14:paraId="42B460C0" w14:textId="77777777" w:rsidR="00E250FB" w:rsidRDefault="00E250FB" w:rsidP="00E250FB">
      <w:r>
        <w:t>National detection rates improved from 58.8% in 2020 to 86.3% in 2023, with preliminary 2024 data indicating 92%, reducing missed cases from approximately 1.14 million to 0.38 million. Bayesian estimates yielded a national incidence of 80.5 per 100,000 (95% credible interval: 73.0–87.5) for 2023. Bihar (57% detection), Uttar Pradesh (85%), and Madhya Pradesh (75%) accounted for over half the residual gap. Achieving 90% national detection requires approximately 182,000 additional annual notifications, 73% of which must originate from Bihar and Madhya Pradesh.</w:t>
      </w:r>
    </w:p>
    <w:p w14:paraId="1CF07746" w14:textId="77777777" w:rsidR="00E250FB" w:rsidRDefault="00E250FB" w:rsidP="00E250FB">
      <w:pPr>
        <w:pStyle w:val="Heading3"/>
      </w:pPr>
      <w:r>
        <w:t>Conclusions</w:t>
      </w:r>
    </w:p>
    <w:p w14:paraId="501C83E2" w14:textId="77777777" w:rsidR="00E250FB" w:rsidRDefault="00E250FB" w:rsidP="00E250FB">
      <w:r>
        <w:t>Cascade-derived health-system metrics and NFHS-5 risk indicators robustly explain detection heterogeneity. Bayesian uncertainty quantification enhances the reliability of estimates, particularly in low-detection states. Prioritizing comorbidity screening, private-sector engagement, and social protection in high-burden states offers a reproducible pathway to uncovering undetected TB cases.</w:t>
      </w:r>
    </w:p>
    <w:p w14:paraId="0A6DDDB7" w14:textId="77777777" w:rsidR="00E250FB" w:rsidRPr="00E250FB" w:rsidRDefault="00E250FB">
      <w:pPr>
        <w:rPr>
          <w:lang w:val="en-US"/>
        </w:rPr>
      </w:pPr>
    </w:p>
    <w:sectPr w:rsidR="00E250FB" w:rsidRPr="00E25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unga">
    <w:altName w:val="Cambria"/>
    <w:panose1 w:val="00000400000000000000"/>
    <w:charset w:val="01"/>
    <w:family w:val="roman"/>
    <w:pitch w:val="variable"/>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0FB"/>
    <w:rsid w:val="00AF32D9"/>
    <w:rsid w:val="00E250F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2D30"/>
  <w15:chartTrackingRefBased/>
  <w15:docId w15:val="{DFCE07C5-1401-4DA1-940C-81C381E2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E25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0FB"/>
    <w:rPr>
      <w:rFonts w:eastAsiaTheme="majorEastAsia" w:cstheme="majorBidi"/>
      <w:color w:val="272727" w:themeColor="text1" w:themeTint="D8"/>
    </w:rPr>
  </w:style>
  <w:style w:type="paragraph" w:styleId="Title">
    <w:name w:val="Title"/>
    <w:basedOn w:val="Normal"/>
    <w:next w:val="Normal"/>
    <w:link w:val="TitleChar"/>
    <w:uiPriority w:val="10"/>
    <w:qFormat/>
    <w:rsid w:val="00E2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0FB"/>
    <w:pPr>
      <w:spacing w:before="160"/>
      <w:jc w:val="center"/>
    </w:pPr>
    <w:rPr>
      <w:i/>
      <w:iCs/>
      <w:color w:val="404040" w:themeColor="text1" w:themeTint="BF"/>
    </w:rPr>
  </w:style>
  <w:style w:type="character" w:customStyle="1" w:styleId="QuoteChar">
    <w:name w:val="Quote Char"/>
    <w:basedOn w:val="DefaultParagraphFont"/>
    <w:link w:val="Quote"/>
    <w:uiPriority w:val="29"/>
    <w:rsid w:val="00E250FB"/>
    <w:rPr>
      <w:rFonts w:cs="Tunga"/>
      <w:i/>
      <w:iCs/>
      <w:color w:val="404040" w:themeColor="text1" w:themeTint="BF"/>
    </w:rPr>
  </w:style>
  <w:style w:type="paragraph" w:styleId="ListParagraph">
    <w:name w:val="List Paragraph"/>
    <w:basedOn w:val="Normal"/>
    <w:uiPriority w:val="34"/>
    <w:qFormat/>
    <w:rsid w:val="00E250FB"/>
    <w:pPr>
      <w:ind w:left="720"/>
      <w:contextualSpacing/>
    </w:pPr>
  </w:style>
  <w:style w:type="character" w:styleId="IntenseEmphasis">
    <w:name w:val="Intense Emphasis"/>
    <w:basedOn w:val="DefaultParagraphFont"/>
    <w:uiPriority w:val="21"/>
    <w:qFormat/>
    <w:rsid w:val="00E250FB"/>
    <w:rPr>
      <w:i/>
      <w:iCs/>
      <w:color w:val="0F4761" w:themeColor="accent1" w:themeShade="BF"/>
    </w:rPr>
  </w:style>
  <w:style w:type="paragraph" w:styleId="IntenseQuote">
    <w:name w:val="Intense Quote"/>
    <w:basedOn w:val="Normal"/>
    <w:next w:val="Normal"/>
    <w:link w:val="IntenseQuoteChar"/>
    <w:uiPriority w:val="30"/>
    <w:qFormat/>
    <w:rsid w:val="00E25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0FB"/>
    <w:rPr>
      <w:rFonts w:cs="Tunga"/>
      <w:i/>
      <w:iCs/>
      <w:color w:val="0F4761" w:themeColor="accent1" w:themeShade="BF"/>
    </w:rPr>
  </w:style>
  <w:style w:type="character" w:styleId="IntenseReference">
    <w:name w:val="Intense Reference"/>
    <w:basedOn w:val="DefaultParagraphFont"/>
    <w:uiPriority w:val="32"/>
    <w:qFormat/>
    <w:rsid w:val="00E25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Siddalingaiah H S</dc:creator>
  <cp:keywords/>
  <dc:description/>
  <cp:lastModifiedBy>Dr Siddalingaiah H S</cp:lastModifiedBy>
  <cp:revision>1</cp:revision>
  <dcterms:created xsi:type="dcterms:W3CDTF">2025-11-26T06:46:00Z</dcterms:created>
  <dcterms:modified xsi:type="dcterms:W3CDTF">2025-11-26T06:47:00Z</dcterms:modified>
</cp:coreProperties>
</file>