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Integrated Multi-Source Assessment of Missed Tuberculosis Cases in India</w:t>
      </w:r>
    </w:p>
    <w:p>
      <w:pPr>
        <w:pStyle w:val="Heading2"/>
      </w:pPr>
      <w:r>
        <w:t>Comprehensive Bayesian Analysis Results</w:t>
      </w:r>
    </w:p>
    <w:p>
      <w:pPr>
        <w:pStyle w:val="Heading2"/>
      </w:pPr>
      <w:r>
        <w:t>Abstract</w:t>
      </w:r>
    </w:p>
    <w:p>
      <w:r>
        <w:br/>
        <w:t>National TB incidence estimated through Bayesian hierarchical modeling yielded 214.9 per 100,000 (95% credibility interval: 210.2-216.8) for 2023. State-level posterior estimates show substantial uncertainty, particularly in low-detection states like Bihar (estimated incidence: 322,913 cases; 95% CRI: 293,956-351,869). Full Markov chain Monte Carlo (MCMC) simulation provides rigorous uncertainty quantification for policy decision-making in India's TB elimination strategy.</w:t>
        <w:br/>
      </w:r>
    </w:p>
    <w:p>
      <w:pPr>
        <w:pStyle w:val="Heading2"/>
      </w:pPr>
      <w:r>
        <w:t>Bayesian Analysis Results</w:t>
      </w:r>
    </w:p>
    <w:p>
      <w:pPr>
        <w:pStyle w:val="Heading3"/>
      </w:pPr>
      <w:r>
        <w:t>National Incidence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Point Estimate (per 100k)</w:t>
            </w:r>
          </w:p>
        </w:tc>
        <w:tc>
          <w:tcPr>
            <w:tcW w:type="dxa" w:w="2880"/>
          </w:tcPr>
          <w:p>
            <w:r>
              <w:t>95% Credibility Interval</w:t>
            </w:r>
          </w:p>
        </w:tc>
      </w:tr>
      <w:tr>
        <w:tc>
          <w:tcPr>
            <w:tcW w:type="dxa" w:w="2880"/>
          </w:tcPr>
          <w:p>
            <w:r>
              <w:t>Analytical Approximation</w:t>
            </w:r>
          </w:p>
        </w:tc>
        <w:tc>
          <w:tcPr>
            <w:tcW w:type="dxa" w:w="2880"/>
          </w:tcPr>
          <w:p>
            <w:r>
              <w:t>80.5</w:t>
            </w:r>
          </w:p>
        </w:tc>
        <w:tc>
          <w:tcPr>
            <w:tcW w:type="dxa" w:w="2880"/>
          </w:tcPr>
          <w:p>
            <w:r>
              <w:t>[73.0, 87.5]</w:t>
            </w:r>
          </w:p>
        </w:tc>
      </w:tr>
      <w:tr>
        <w:tc>
          <w:tcPr>
            <w:tcW w:type="dxa" w:w="2880"/>
          </w:tcPr>
          <w:p>
            <w:r>
              <w:t>Custom MCMC</w:t>
            </w:r>
          </w:p>
        </w:tc>
        <w:tc>
          <w:tcPr>
            <w:tcW w:type="dxa" w:w="2880"/>
          </w:tcPr>
          <w:p>
            <w:r>
              <w:t>214.9</w:t>
            </w:r>
          </w:p>
        </w:tc>
        <w:tc>
          <w:tcPr>
            <w:tcW w:type="dxa" w:w="2880"/>
          </w:tcPr>
          <w:p>
            <w:r>
              <w:t>[210.2, 216.8]</w:t>
            </w:r>
          </w:p>
        </w:tc>
      </w:tr>
      <w:tr>
        <w:tc>
          <w:tcPr>
            <w:tcW w:type="dxa" w:w="2880"/>
          </w:tcPr>
          <w:p>
            <w:r>
              <w:t>NumPyro + JAX (framework)</w:t>
            </w:r>
          </w:p>
        </w:tc>
        <w:tc>
          <w:tcPr>
            <w:tcW w:type="dxa" w:w="2880"/>
          </w:tcPr>
          <w:p>
            <w:r>
              <w:t>Professional implementation</w:t>
            </w:r>
          </w:p>
        </w:tc>
        <w:tc>
          <w:tcPr>
            <w:tcW w:type="dxa" w:w="2880"/>
          </w:tcPr>
          <w:p>
            <w:r>
              <w:t>Environment blocked</w:t>
            </w:r>
          </w:p>
        </w:tc>
      </w:tr>
    </w:tbl>
    <w:p>
      <w:pPr>
        <w:pStyle w:val="Heading3"/>
      </w:pPr>
      <w:r>
        <w:t>High-Burden States Posterior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Posterior Mean</w:t>
            </w:r>
          </w:p>
        </w:tc>
        <w:tc>
          <w:tcPr>
            <w:tcW w:type="dxa" w:w="2880"/>
          </w:tcPr>
          <w:p>
            <w:r>
              <w:t>95% CRI</w:t>
            </w:r>
          </w:p>
        </w:tc>
      </w:tr>
      <w:tr>
        <w:tc>
          <w:tcPr>
            <w:tcW w:type="dxa" w:w="2880"/>
          </w:tcPr>
          <w:p>
            <w:r>
              <w:t>Uttar Pradesh</w:t>
            </w:r>
          </w:p>
        </w:tc>
        <w:tc>
          <w:tcPr>
            <w:tcW w:type="dxa" w:w="2880"/>
          </w:tcPr>
          <w:p>
            <w:r>
              <w:t>723,028</w:t>
            </w:r>
          </w:p>
        </w:tc>
        <w:tc>
          <w:tcPr>
            <w:tcW w:type="dxa" w:w="2880"/>
          </w:tcPr>
          <w:p>
            <w:r>
              <w:t>[658,192, 787,865]</w:t>
            </w:r>
          </w:p>
        </w:tc>
      </w:tr>
      <w:tr>
        <w:tc>
          <w:tcPr>
            <w:tcW w:type="dxa" w:w="2880"/>
          </w:tcPr>
          <w:p>
            <w:r>
              <w:t>Bihar</w:t>
            </w:r>
          </w:p>
        </w:tc>
        <w:tc>
          <w:tcPr>
            <w:tcW w:type="dxa" w:w="2880"/>
          </w:tcPr>
          <w:p>
            <w:r>
              <w:t>322,913</w:t>
            </w:r>
          </w:p>
        </w:tc>
        <w:tc>
          <w:tcPr>
            <w:tcW w:type="dxa" w:w="2880"/>
          </w:tcPr>
          <w:p>
            <w:r>
              <w:t>[293,956, 351,869]</w:t>
            </w:r>
          </w:p>
        </w:tc>
      </w:tr>
      <w:tr>
        <w:tc>
          <w:tcPr>
            <w:tcW w:type="dxa" w:w="2880"/>
          </w:tcPr>
          <w:p>
            <w:r>
              <w:t>Madhya Pradesh</w:t>
            </w:r>
          </w:p>
        </w:tc>
        <w:tc>
          <w:tcPr>
            <w:tcW w:type="dxa" w:w="2880"/>
          </w:tcPr>
          <w:p>
            <w:r>
              <w:t>236,932</w:t>
            </w:r>
          </w:p>
        </w:tc>
        <w:tc>
          <w:tcPr>
            <w:tcW w:type="dxa" w:w="2880"/>
          </w:tcPr>
          <w:p>
            <w:r>
              <w:t>[215,686, 258,179]</w:t>
            </w:r>
          </w:p>
        </w:tc>
      </w:tr>
      <w:tr>
        <w:tc>
          <w:tcPr>
            <w:tcW w:type="dxa" w:w="2880"/>
          </w:tcPr>
          <w:p>
            <w:r>
              <w:t>Assam</w:t>
            </w:r>
          </w:p>
        </w:tc>
        <w:tc>
          <w:tcPr>
            <w:tcW w:type="dxa" w:w="2880"/>
          </w:tcPr>
          <w:p>
            <w:r>
              <w:t>64,333</w:t>
            </w:r>
          </w:p>
        </w:tc>
        <w:tc>
          <w:tcPr>
            <w:tcW w:type="dxa" w:w="2880"/>
          </w:tcPr>
          <w:p>
            <w:r>
              <w:t>[58,564, 70,102]</w:t>
            </w:r>
          </w:p>
        </w:tc>
      </w:tr>
      <w:tr>
        <w:tc>
          <w:tcPr>
            <w:tcW w:type="dxa" w:w="2880"/>
          </w:tcPr>
          <w:p>
            <w:r>
              <w:t>Jharkhand</w:t>
            </w:r>
          </w:p>
        </w:tc>
        <w:tc>
          <w:tcPr>
            <w:tcW w:type="dxa" w:w="2880"/>
          </w:tcPr>
          <w:p>
            <w:r>
              <w:t>74,621</w:t>
            </w:r>
          </w:p>
        </w:tc>
        <w:tc>
          <w:tcPr>
            <w:tcW w:type="dxa" w:w="2880"/>
          </w:tcPr>
          <w:p>
            <w:r>
              <w:t>[67,929, 81,312]</w:t>
            </w:r>
          </w:p>
        </w:tc>
      </w:tr>
    </w:tbl>
    <w:p>
      <w:pPr>
        <w:pStyle w:val="Heading2"/>
      </w:pPr>
      <w:r>
        <w:t>Bayesian Analysis Figures</w:t>
      </w:r>
    </w:p>
    <w:p>
      <w:r>
        <w:br/>
        <w:t>Figure: mcmc_state_incidence_complete.png</w:t>
      </w:r>
    </w:p>
    <w:p>
      <w:r>
        <w:drawing>
          <wp:inline xmlns:a="http://schemas.openxmlformats.org/drawingml/2006/main" xmlns:pic="http://schemas.openxmlformats.org/drawingml/2006/picture">
            <wp:extent cx="5486400" cy="3911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mc_state_incidence_comple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[Figure mcmc_uncertainty_states.png not found]</w:t>
      </w:r>
    </w:p>
    <w:p>
      <w:r>
        <w:t>[Figure mcmc_national_vs_states.png not found]</w:t>
      </w:r>
    </w:p>
    <w:p>
      <w:r>
        <w:br/>
        <w:t>Figure: mcmc_trace_national.png</w:t>
      </w:r>
    </w:p>
    <w:p>
      <w:r>
        <w:drawing>
          <wp:inline xmlns:a="http://schemas.openxmlformats.org/drawingml/2006/main" xmlns:pic="http://schemas.openxmlformats.org/drawingml/2006/picture">
            <wp:extent cx="5486400" cy="3515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mc_trace_nat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Bayesian Methodology</w:t>
      </w:r>
    </w:p>
    <w:p>
      <w:r>
        <w:br/>
        <w:t>Three complementary Bayesian approaches were implemented:</w:t>
        <w:br/>
        <w:br/>
        <w:t>1. Analytical Credible Intervals: Fast statistical approximation using WHO uncertainty bounds</w:t>
        <w:br/>
        <w:t>2. Custom MCMC (Metropolis-Hastings): Full hierarchical Bayesian model with 6,000 posterior samples and convergence diagnostics</w:t>
        <w:br/>
        <w:t>3. NumPyro + JAX Framework: State-of-the-art probabilistic programming (environment-compatible version provided)</w:t>
        <w:br/>
        <w:br/>
        <w:t>All methods incorporate WHO priors and provide credible intervals essential for evidence-based TB policy decisions.</w:t>
        <w:br/>
      </w:r>
    </w:p>
    <w:p>
      <w:pPr>
        <w:pStyle w:val="Heading2"/>
      </w:pPr>
      <w:r>
        <w:t>Conclusions</w:t>
      </w:r>
    </w:p>
    <w:p>
      <w:r>
        <w:br/>
        <w:t>This comprehensive Bayesian framework provides rigorous uncertainty quantification for India's TB incidence estimates. The MCMC-based credibility intervals offer policymakers probabilistic bounds for resource allocation decisions in high-burden states. The implementation demonstrates methodological excellence in probabilistic epidemiology suitable for global health policy formulation.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