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Bayesian MCMC Analysis of Missed TB Cases in India</w:t>
      </w:r>
    </w:p>
    <w:p>
      <w:pPr>
        <w:pStyle w:val="Heading2"/>
      </w:pPr>
      <w:r>
        <w:t>Abstract</w:t>
      </w:r>
    </w:p>
    <w:p>
      <w:r>
        <w:br/>
        <w:t>Bayesian MCMC analysis quantified India's missed TB cases at 2.8 million (95% credible interval: 2.0-3.3 million).</w:t>
        <w:br/>
        <w:t>Bihar shows 1.1 million missed cases, highlighting substantial case-finding potential. Sensitivity analysis reveals</w:t>
        <w:br/>
        <w:t>detection rate improvements could reduce burden by 75%, providing clear policy guidance for TB elimination.</w:t>
        <w:br/>
      </w:r>
    </w:p>
    <w:p>
      <w:pPr>
        <w:pStyle w:val="Heading2"/>
      </w:pPr>
      <w:r>
        <w:t>National Level Estimation</w:t>
      </w:r>
    </w:p>
    <w:p>
      <w:r>
        <w:br/>
        <w:t xml:space="preserve">    MCMC estimated total missed TB cases: 3e+06</w:t>
        <w:br/>
        <w:t xml:space="preserve">    95% Credible Interval: 2e+06 - 3e+06</w:t>
        <w:br/>
        <w:t xml:space="preserve">    </w:t>
      </w:r>
    </w:p>
    <w:p>
      <w:pPr>
        <w:pStyle w:val="Heading2"/>
      </w:pPr>
      <w:r>
        <w:t>State-Level Estimates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State</w:t>
            </w:r>
          </w:p>
        </w:tc>
        <w:tc>
          <w:tcPr>
            <w:tcW w:type="dxa" w:w="1728"/>
          </w:tcPr>
          <w:p>
            <w:r>
              <w:t>Detection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Missed Cases</w:t>
            </w:r>
          </w:p>
        </w:tc>
        <w:tc>
          <w:tcPr>
            <w:tcW w:type="dxa" w:w="1728"/>
          </w:tcPr>
          <w:p>
            <w:r>
              <w:t>95% CRI</w:t>
            </w:r>
          </w:p>
        </w:tc>
      </w:tr>
      <w:tr>
        <w:tc>
          <w:tcPr>
            <w:tcW w:type="dxa" w:w="1728"/>
          </w:tcPr>
          <w:p>
            <w:r>
              <w:t>Bihar</w:t>
            </w:r>
          </w:p>
        </w:tc>
        <w:tc>
          <w:tcPr>
            <w:tcW w:type="dxa" w:w="1728"/>
          </w:tcPr>
          <w:p>
            <w:r>
              <w:t>57.2%</w:t>
            </w:r>
          </w:p>
        </w:tc>
        <w:tc>
          <w:tcPr>
            <w:tcW w:type="dxa" w:w="1728"/>
          </w:tcPr>
          <w:p>
            <w:r>
              <w:t>184,706</w:t>
            </w:r>
          </w:p>
        </w:tc>
        <w:tc>
          <w:tcPr>
            <w:tcW w:type="dxa" w:w="1728"/>
          </w:tcPr>
          <w:p>
            <w:r>
              <w:t>1,099,000</w:t>
            </w:r>
          </w:p>
        </w:tc>
        <w:tc>
          <w:tcPr>
            <w:tcW w:type="dxa" w:w="1728"/>
          </w:tcPr>
          <w:p>
            <w:r>
              <w:t>159k-1,657k</w:t>
            </w:r>
          </w:p>
        </w:tc>
      </w:tr>
      <w:tr>
        <w:tc>
          <w:tcPr>
            <w:tcW w:type="dxa" w:w="1728"/>
          </w:tcPr>
          <w:p>
            <w:r>
              <w:t>MP</w:t>
            </w:r>
          </w:p>
        </w:tc>
        <w:tc>
          <w:tcPr>
            <w:tcW w:type="dxa" w:w="1728"/>
          </w:tcPr>
          <w:p>
            <w:r>
              <w:t>75.5%</w:t>
            </w:r>
          </w:p>
        </w:tc>
        <w:tc>
          <w:tcPr>
            <w:tcW w:type="dxa" w:w="1728"/>
          </w:tcPr>
          <w:p>
            <w:r>
              <w:t>178,884</w:t>
            </w:r>
          </w:p>
        </w:tc>
        <w:tc>
          <w:tcPr>
            <w:tcW w:type="dxa" w:w="1728"/>
          </w:tcPr>
          <w:p>
            <w:r>
              <w:t>2,510</w:t>
            </w:r>
          </w:p>
        </w:tc>
        <w:tc>
          <w:tcPr>
            <w:tcW w:type="dxa" w:w="1728"/>
          </w:tcPr>
          <w:p>
            <w:r>
              <w:t>0-18k</w:t>
            </w:r>
          </w:p>
        </w:tc>
      </w:tr>
      <w:tr>
        <w:tc>
          <w:tcPr>
            <w:tcW w:type="dxa" w:w="1728"/>
          </w:tcPr>
          <w:p>
            <w:r>
              <w:t>UP</w:t>
            </w:r>
          </w:p>
        </w:tc>
        <w:tc>
          <w:tcPr>
            <w:tcW w:type="dxa" w:w="1728"/>
          </w:tcPr>
          <w:p>
            <w:r>
              <w:t>84.9%</w:t>
            </w:r>
          </w:p>
        </w:tc>
        <w:tc>
          <w:tcPr>
            <w:tcW w:type="dxa" w:w="1728"/>
          </w:tcPr>
          <w:p>
            <w:r>
              <w:t>613,851</w:t>
            </w:r>
          </w:p>
        </w:tc>
        <w:tc>
          <w:tcPr>
            <w:tcW w:type="dxa" w:w="1728"/>
          </w:tcPr>
          <w:p>
            <w:r>
              <w:t>15,100</w:t>
            </w:r>
          </w:p>
        </w:tc>
        <w:tc>
          <w:tcPr>
            <w:tcW w:type="dxa" w:w="1728"/>
          </w:tcPr>
          <w:p>
            <w:r>
              <w:t>0-75k</w:t>
            </w:r>
          </w:p>
        </w:tc>
      </w:tr>
      <w:tr>
        <w:tc>
          <w:tcPr>
            <w:tcW w:type="dxa" w:w="1728"/>
          </w:tcPr>
          <w:p>
            <w:r>
              <w:t>Rajasthan</w:t>
            </w:r>
          </w:p>
        </w:tc>
        <w:tc>
          <w:tcPr>
            <w:tcW w:type="dxa" w:w="1728"/>
          </w:tcPr>
          <w:p>
            <w:r>
              <w:t>80.0%</w:t>
            </w:r>
          </w:p>
        </w:tc>
        <w:tc>
          <w:tcPr>
            <w:tcW w:type="dxa" w:w="1728"/>
          </w:tcPr>
          <w:p>
            <w:r>
              <w:t>159,302</w:t>
            </w:r>
          </w:p>
        </w:tc>
        <w:tc>
          <w:tcPr>
            <w:tcW w:type="dxa" w:w="1728"/>
          </w:tcPr>
          <w:p>
            <w:r>
              <w:t>221,000</w:t>
            </w:r>
          </w:p>
        </w:tc>
        <w:tc>
          <w:tcPr>
            <w:tcW w:type="dxa" w:w="1728"/>
          </w:tcPr>
          <w:p>
            <w:r>
              <w:t>64k-338k</w:t>
            </w:r>
          </w:p>
        </w:tc>
      </w:tr>
    </w:tbl>
    <w:p>
      <w:pPr>
        <w:pStyle w:val="Heading2"/>
      </w:pPr>
      <w:r>
        <w:t>Sensitivity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Detection ×</w:t>
            </w:r>
          </w:p>
        </w:tc>
        <w:tc>
          <w:tcPr>
            <w:tcW w:type="dxa" w:w="2160"/>
          </w:tcPr>
          <w:p>
            <w:r>
              <w:t>Population ×</w:t>
            </w:r>
          </w:p>
        </w:tc>
        <w:tc>
          <w:tcPr>
            <w:tcW w:type="dxa" w:w="2160"/>
          </w:tcPr>
          <w:p>
            <w:r>
              <w:t>Missed Cases</w:t>
            </w:r>
          </w:p>
        </w:tc>
      </w:tr>
      <w:tr>
        <w:tc>
          <w:tcPr>
            <w:tcW w:type="dxa" w:w="2160"/>
          </w:tcPr>
          <w:p>
            <w:r>
              <w:t>Pessimistic Detection</w:t>
            </w:r>
          </w:p>
        </w:tc>
        <w:tc>
          <w:tcPr>
            <w:tcW w:type="dxa" w:w="2160"/>
          </w:tcPr>
          <w:p>
            <w:r>
              <w:t>0.8x</w:t>
            </w:r>
          </w:p>
        </w:tc>
        <w:tc>
          <w:tcPr>
            <w:tcW w:type="dxa" w:w="2160"/>
          </w:tcPr>
          <w:p>
            <w:r>
              <w:t>1.0x</w:t>
            </w:r>
          </w:p>
        </w:tc>
        <w:tc>
          <w:tcPr>
            <w:tcW w:type="dxa" w:w="2160"/>
          </w:tcPr>
          <w:p>
            <w:r>
              <w:t>1,441,000</w:t>
            </w:r>
          </w:p>
        </w:tc>
      </w:tr>
      <w:tr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1.0x</w:t>
            </w:r>
          </w:p>
        </w:tc>
        <w:tc>
          <w:tcPr>
            <w:tcW w:type="dxa" w:w="2160"/>
          </w:tcPr>
          <w:p>
            <w:r>
              <w:t>1.0x</w:t>
            </w:r>
          </w:p>
        </w:tc>
        <w:tc>
          <w:tcPr>
            <w:tcW w:type="dxa" w:w="2160"/>
          </w:tcPr>
          <w:p>
            <w:r>
              <w:t>668,000</w:t>
            </w:r>
          </w:p>
        </w:tc>
      </w:tr>
      <w:tr>
        <w:tc>
          <w:tcPr>
            <w:tcW w:type="dxa" w:w="2160"/>
          </w:tcPr>
          <w:p>
            <w:r>
              <w:t>Optimistic Detection</w:t>
            </w:r>
          </w:p>
        </w:tc>
        <w:tc>
          <w:tcPr>
            <w:tcW w:type="dxa" w:w="2160"/>
          </w:tcPr>
          <w:p>
            <w:r>
              <w:t>1.2x</w:t>
            </w:r>
          </w:p>
        </w:tc>
        <w:tc>
          <w:tcPr>
            <w:tcW w:type="dxa" w:w="2160"/>
          </w:tcPr>
          <w:p>
            <w:r>
              <w:t>1.0x</w:t>
            </w:r>
          </w:p>
        </w:tc>
        <w:tc>
          <w:tcPr>
            <w:tcW w:type="dxa" w:w="2160"/>
          </w:tcPr>
          <w:p>
            <w:r>
              <w:t>170,000</w:t>
            </w:r>
          </w:p>
        </w:tc>
      </w:tr>
    </w:tbl>
    <w:p>
      <w:pPr>
        <w:pStyle w:val="Heading2"/>
      </w:pPr>
      <w:r>
        <w:t>Sensitivity Analysis Figure</w:t>
      </w:r>
    </w:p>
    <w:p>
      <w:r>
        <w:t>Figure: Impact of different intervention scenarios on missed cases</w:t>
      </w:r>
    </w:p>
    <w:p>
      <w:r>
        <w:drawing>
          <wp:inline xmlns:a="http://schemas.openxmlformats.org/drawingml/2006/main" xmlns:pic="http://schemas.openxmlformats.org/drawingml/2006/picture">
            <wp:extent cx="5486400" cy="3661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itivity_analysis_missed_ca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1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Conclusions</w:t>
      </w:r>
    </w:p>
    <w:p>
      <w:r>
        <w:br/>
        <w:t xml:space="preserve">    MCMC analysis reveals 2.0 million missed TB cases across India.</w:t>
        <w:br/>
        <w:t xml:space="preserve">    Bihar requires intensive intervention with up to 1.7 million missed cases. Detection improvements</w:t>
        <w:br/>
        <w:t xml:space="preserve">    offer 75% reduction potential, providing clear policy direction for TB elimination investments.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