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Additional Notifications Required to Achieve Target Detection Levels</w:t>
      </w:r>
    </w:p>
    <w:p/>
    <w:p>
      <w:r>
        <w:t>For target detection proportions d ∈ {0.8, 0.9, 0.95}, the additional number of notifications required for each state–year is computed as:</w:t>
      </w:r>
    </w:p>
    <w:p/>
    <w:p>
      <w:r>
        <w:t xml:space="preserve">    Additional_notifications_{s,t}(d) = max(0,  d · Î_{s,t} – notif_{s,t})</w:t>
      </w:r>
    </w:p>
    <w:p/>
    <w:p>
      <w:r>
        <w:t>This ensures that shortfalls below each target detection level are quantified while preventing negative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