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 Structure for Estimating Missed Tuberculosis Cases</w:t>
      </w:r>
    </w:p>
    <w:p/>
    <w:p>
      <w:r>
        <w:t>State notifications were first scaled so that the yearly aggregated total matched the WHO national notification estimate. Let notif_{s,t} denote the scaled notifications for state s in year t.</w:t>
      </w:r>
    </w:p>
    <w:p/>
    <w:p>
      <w:r>
        <w:t>Detection probability p_{s,t} was modelled using a logistic link as a function of health-system strength and epidemiological risk burden:</w:t>
      </w:r>
    </w:p>
    <w:p/>
    <w:p>
      <w:r>
        <w:t xml:space="preserve">    logit(p_{s,t}) = α_t + 0.9 · Sys_{s,t} – 0.5 · Risk_{s,t}</w:t>
      </w:r>
    </w:p>
    <w:p/>
    <w:p>
      <w:r>
        <w:t>where α_t was solved iteratively to satisfy the incidence-matching constraint:</w:t>
      </w:r>
    </w:p>
    <w:p/>
    <w:p>
      <w:r>
        <w:t xml:space="preserve">    Σ_s [ notif_{s,t} / p_{s,t} ] = WHO incidence_t</w:t>
      </w:r>
    </w:p>
    <w:p/>
    <w:p>
      <w:r>
        <w:t>To avoid implausible values, detection probabilities were restricted to lie between 0.20 and 0.98.</w:t>
      </w:r>
    </w:p>
    <w:p/>
    <w:p>
      <w:r>
        <w:t>State-specific incidence was then estimated as:</w:t>
      </w:r>
    </w:p>
    <w:p/>
    <w:p>
      <w:r>
        <w:t xml:space="preserve">    Î_{s,t} = notif_{s,t} / p_{s,t}</w:t>
      </w:r>
    </w:p>
    <w:p/>
    <w:p>
      <w:r>
        <w:t>Missed cases were computed as:</w:t>
      </w:r>
    </w:p>
    <w:p/>
    <w:p>
      <w:r>
        <w:t xml:space="preserve">    Missed cases_{s,t} = Î_{s,t} – notif_{s,t}</w:t>
      </w:r>
    </w:p>
    <w:p/>
    <w:p>
      <w:r>
        <w:t>This modelling framework prioritises transparency and interpretability, while maintaining flexibility for future Bayesian hierarchical extensions (script 04), particularly when informative state-level incidence priors become available [13,17].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