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State-wise Missed Tuberculosis Cases in India: Integrating WHO, Ni-kshay, and NFHS Evidence (Version 2)</w:t>
      </w:r>
    </w:p>
    <w:p/>
    <w:p>
      <w:pPr>
        <w:pStyle w:val="Heading2"/>
      </w:pPr>
      <w:r>
        <w:t>Abstract</w:t>
      </w:r>
    </w:p>
    <w:p>
      <w:r>
        <w:t xml:space="preserve">**Background:** India’s TB programme reported a record 2.55 million notifications in 2023, yet WHO estimates suggest substantially higher incidence. Quantifying “missed” cases (incidence – notifications) and understanding state-level heterogeneity are essential for targeting End TB interventions.  </w:t>
      </w:r>
    </w:p>
    <w:p>
      <w:r>
        <w:t xml:space="preserve">**Methods:** We combined WHO TB burden CSVs (incidence, mortality, `c_newinc` notifications), Ni-kshay state notification exports (2020–2023, plus Jan–Oct 2024), India TB Report cascade annexes (diabetes, tobacco, alcohol screening), and NFHS-5 covariates. A deterministic calibration scales state notifications to WHO national totals and solves for detection probabilities using system-strength and risk-factor indices. Outputs include national/state time series, scenario tables (80/90/95% detection), and geospatial visualisations.  </w:t>
      </w:r>
    </w:p>
    <w:p>
      <w:r>
        <w:t xml:space="preserve">**Results:** National detection improved from 58.8% (2020) to 86.3% (2023); missed cases fell from 1.14 million to 0.38 million. Bihar (57% detection), Uttar Pradesh (85%), and Madhya Pradesh (75%) account for 53% of the residual gap. Achieving 90% detection nationally requires ~182,000 additional notifications annually, ~73% of which must come from Bihar (102k) and Madhya Pradesh (32k).  </w:t>
      </w:r>
    </w:p>
    <w:p>
      <w:r>
        <w:t>**Conclusions:** System-strength proxies from India TB Report cascades align closely with detection performance. Intensifying comorbidity screening and private-sector engagement in high-gap states could close two-thirds of the residual national gap, supporting WHO’s call for comprehensive detection coverage [1–3].</w:t>
      </w:r>
    </w:p>
    <w:p/>
    <w:p>
      <w:r>
        <w:t>---</w:t>
      </w:r>
    </w:p>
    <w:p/>
    <w:p>
      <w:pPr>
        <w:pStyle w:val="Heading2"/>
      </w:pPr>
      <w:r>
        <w:t>1. Introduction</w:t>
      </w:r>
    </w:p>
    <w:p>
      <w:r>
        <w:t>India’s National Tuberculosis Elimination Programme (NTEP) has accelerated case finding, digital surveillance, and social support schemes, yet WHO’s 2024 report still attributes ~2.76 million incident TB cases to the country [1]. The gap between incidence and Ni-kshay notifications encompasses both undiagnosed people and those diagnosed but unreported—a challenge echoed in cascade analyses [2,4]. Rigorous, reproducible state-level estimates remain scarce, limiting policymakers’ ability to prioritise investments. This paper presents an updated automation pipeline (Version 2) that integrates diverse official datasets to quantify missed cases, highlight high-gap states, and simulate pathways to WHO’s 90% detection target.</w:t>
      </w:r>
    </w:p>
    <w:p/>
    <w:p>
      <w:r>
        <w:t>---</w:t>
      </w:r>
    </w:p>
    <w:p/>
    <w:p>
      <w:pPr>
        <w:pStyle w:val="Heading2"/>
      </w:pPr>
      <w:r>
        <w:t>2. Data sources</w:t>
      </w:r>
    </w:p>
    <w:p>
      <w:pPr>
        <w:pStyle w:val="ListNumber"/>
      </w:pPr>
      <w:r>
        <w:t>**WHO TB burden and notification CSVs (Nov 2025 downloads):** Provide incidence, mortality, population, case detection ratio (CDR), and `c_newinc` totals for 2000–2024 [1].</w:t>
      </w:r>
    </w:p>
    <w:p>
      <w:pPr>
        <w:pStyle w:val="ListNumber"/>
      </w:pPr>
      <w:r>
        <w:t>**Ni-kshay/Rajya Sabha exports:** Annual state notifications (2020–2023), age/death distributions, 2024 Jan–Oct counts, and treatment outcomes [5].</w:t>
      </w:r>
    </w:p>
    <w:p>
      <w:pPr>
        <w:pStyle w:val="ListNumber"/>
      </w:pPr>
      <w:r>
        <w:t>**India TB Report 2024 cascade annex:** Diabetes, tobacco, and alcohol screening/linkage indicators used as system-strength proxies [2].</w:t>
      </w:r>
    </w:p>
    <w:p>
      <w:pPr>
        <w:pStyle w:val="ListNumber"/>
      </w:pPr>
      <w:r>
        <w:t>**NFHS-5 state aggregates (2019–2021):** Nutritional status, anemia, tobacco/alcohol use, sanitation, and clean fuel adoption to represent risk burden [6].</w:t>
      </w:r>
    </w:p>
    <w:p>
      <w:pPr>
        <w:pStyle w:val="ListNumber"/>
      </w:pPr>
      <w:r>
        <w:t>**Supplementary WHO annexes (MDR/RR, outcomes, age-sex):** Support sensitivity analyses and cross-checks.</w:t>
      </w:r>
    </w:p>
    <w:p>
      <w:pPr>
        <w:pStyle w:val="ListNumber"/>
      </w:pPr>
      <w:r>
        <w:t>**Literature context:** WHO End TB Strategy updates, Ni-kshay Poshan Yojana assessments, and NFHS-5 risk documentation [1–4,6].</w:t>
      </w:r>
    </w:p>
    <w:p/>
    <w:p>
      <w:r>
        <w:t>All inputs reside in `data/raw/`, with derived `who_india_ts.csv` created via `scripts/07_process_who_resource_files.py`.</w:t>
      </w:r>
    </w:p>
    <w:p/>
    <w:p>
      <w:r>
        <w:t>---</w:t>
      </w:r>
    </w:p>
    <w:p/>
    <w:p>
      <w:pPr>
        <w:pStyle w:val="Heading2"/>
      </w:pPr>
      <w:r>
        <w:t>3. Methods</w:t>
      </w:r>
    </w:p>
    <w:p/>
    <w:p>
      <w:pPr>
        <w:pStyle w:val="Heading3"/>
      </w:pPr>
      <w:r>
        <w:t>3.1 Data harmonisation</w:t>
      </w:r>
    </w:p>
    <w:p>
      <w:pPr>
        <w:pStyle w:val="ListNumber"/>
      </w:pPr>
      <w:r>
        <w:t>**WHO conversion:** `scripts/07_process_who_resource_files.py` extracts India’s incidence, mortality, population, and `c_newinc` from the WHO CSVs.</w:t>
      </w:r>
    </w:p>
    <w:p>
      <w:pPr>
        <w:pStyle w:val="ListNumber"/>
      </w:pPr>
      <w:r>
        <w:t>**Notification cleaning:** `scripts/02_ingest_india_tb_reports.py` standardises state names and reshapes the Ni-kshay CSVs into long-form `state, year, notifications`.</w:t>
      </w:r>
    </w:p>
    <w:p>
      <w:pPr>
        <w:pStyle w:val="ListNumber"/>
      </w:pPr>
      <w:r>
        <w:t>**Covariate merge:** `scripts/03_build_state_panel.py` integrates cascade indicators and NFHS-5 covariates, generating `state_year_panel.csv`.</w:t>
      </w:r>
    </w:p>
    <w:p/>
    <w:p>
      <w:pPr>
        <w:pStyle w:val="Heading3"/>
      </w:pPr>
      <w:r>
        <w:t>3.2 Deterministic calibration model</w:t>
      </w:r>
    </w:p>
    <w:p>
      <w:pPr>
        <w:pStyle w:val="ListBullet"/>
      </w:pPr>
      <w:r>
        <w:t>**Scaling:** For each year, state notifications are proportionally scaled so their sum equals WHO’s `c_newinc`.</w:t>
      </w:r>
    </w:p>
    <w:p>
      <w:pPr>
        <w:pStyle w:val="ListBullet"/>
      </w:pPr>
      <w:r>
        <w:t>**Indices:**</w:t>
      </w:r>
    </w:p>
    <w:p>
      <w:pPr>
        <w:pStyle w:val="ListBullet"/>
      </w:pPr>
      <w:r>
        <w:t>*System strength* = weighted combination of DM screening/therapy, tobacco/alcohol screening, and linkage (standardised).</w:t>
      </w:r>
    </w:p>
    <w:p>
      <w:pPr>
        <w:pStyle w:val="ListBullet"/>
      </w:pPr>
      <w:r>
        <w:t>*Risk burden* = mean of NFHS-5 z-scores for stunting, underweight, wasting, anemia, adult tobacco/alcohol minus protective factors (sanitation, clean fuel).</w:t>
      </w:r>
    </w:p>
    <w:p>
      <w:pPr>
        <w:pStyle w:val="ListBullet"/>
      </w:pPr>
      <w:r>
        <w:t>**Logistic detection model:**</w:t>
      </w:r>
    </w:p>
    <w:p>
      <w:r>
        <w:t xml:space="preserve">  \[</w:t>
      </w:r>
    </w:p>
    <w:p>
      <w:r>
        <w:t xml:space="preserve">  \text{logit}(p_{s,t}) = \alpha_t + 0.9 \cdot \text{system\_z}_{s,t} - 0.5 \cdot \text{risk\_z}_{s,t}</w:t>
      </w:r>
    </w:p>
    <w:p>
      <w:r>
        <w:t xml:space="preserve">  \]</w:t>
      </w:r>
    </w:p>
    <w:p>
      <w:r>
        <w:t xml:space="preserve">  `α_t` is solved via binary search so Σ (notifications_s,t / p_s,t) equals WHO incidence_t. Detection is bounded (0.2–0.98).  </w:t>
      </w:r>
    </w:p>
    <w:p>
      <w:pPr>
        <w:pStyle w:val="ListBullet"/>
      </w:pPr>
      <w:r>
        <w:t>**Derived metrics:** `incidence_est = notifications / p`, `missed = incidence_est – notifications`, detection categories (&lt;75%, 75–85%, &gt;85%).</w:t>
      </w:r>
    </w:p>
    <w:p>
      <w:pPr>
        <w:pStyle w:val="ListBullet"/>
      </w:pPr>
      <w:r>
        <w:t>**Scenario analysis:** Additional notifications needed for 80%, 90%, 95% detection.</w:t>
      </w:r>
    </w:p>
    <w:p/>
    <w:p>
      <w:pPr>
        <w:pStyle w:val="Heading3"/>
      </w:pPr>
      <w:r>
        <w:t>3.3 Quality assurance</w:t>
      </w:r>
    </w:p>
    <w:p>
      <w:pPr>
        <w:pStyle w:val="ListBullet"/>
      </w:pPr>
      <w:r>
        <w:t>Confirm Σ notifications = WHO `c_newinc`; Σ incidence = WHO incidence.</w:t>
      </w:r>
    </w:p>
    <w:p>
      <w:pPr>
        <w:pStyle w:val="ListBullet"/>
      </w:pPr>
      <w:r>
        <w:t>Ensure `missed ≥ 0`; detection stays within bounds.</w:t>
      </w:r>
    </w:p>
    <w:p>
      <w:pPr>
        <w:pStyle w:val="ListBullet"/>
      </w:pPr>
      <w:r>
        <w:t>Review `output/figures/*` after each run to verify narrative alignment.</w:t>
      </w:r>
    </w:p>
    <w:p>
      <w:pPr>
        <w:pStyle w:val="ListBullet"/>
      </w:pPr>
      <w:r>
        <w:t>Conversion scripts produce DOCX versions for reproducibility.</w:t>
      </w:r>
    </w:p>
    <w:p/>
    <w:p>
      <w:pPr>
        <w:pStyle w:val="Heading3"/>
      </w:pPr>
      <w:r>
        <w:t>3.4 Literature integration</w:t>
      </w:r>
    </w:p>
    <w:p>
      <w:r>
        <w:t>Findings are contextualised using WHO End TB targets [1], India TB Report policy directions [2], Ni-kshay private-sector engagement assessments [3], and NFHS-5 risk analyses [6], ensuring consistency with published guidance.</w:t>
      </w:r>
    </w:p>
    <w:p/>
    <w:p>
      <w:r>
        <w:t>---</w:t>
      </w:r>
    </w:p>
    <w:p/>
    <w:p>
      <w:pPr>
        <w:pStyle w:val="Heading2"/>
      </w:pPr>
      <w:r>
        <w:t>4. Results</w:t>
      </w:r>
    </w:p>
    <w:p/>
    <w:p>
      <w:pPr>
        <w:pStyle w:val="Heading3"/>
      </w:pPr>
      <w:r>
        <w:t>4.1 National time series</w:t>
      </w:r>
    </w:p>
    <w:p>
      <w:r>
        <w:t>**Table 1.** National incidence, notifications, detection, and missed TB cases (WHO-aligned totals).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Year</w:t>
            </w:r>
          </w:p>
        </w:tc>
        <w:tc>
          <w:tcPr>
            <w:tcW w:type="dxa" w:w="1728"/>
          </w:tcPr>
          <w:p>
            <w:r>
              <w:t>Notifications</w:t>
            </w:r>
          </w:p>
        </w:tc>
        <w:tc>
          <w:tcPr>
            <w:tcW w:type="dxa" w:w="1728"/>
          </w:tcPr>
          <w:p>
            <w:r>
              <w:t>Modeled incidence</w:t>
            </w:r>
          </w:p>
        </w:tc>
        <w:tc>
          <w:tcPr>
            <w:tcW w:type="dxa" w:w="1728"/>
          </w:tcPr>
          <w:p>
            <w:r>
              <w:t>Detection (%)</w:t>
            </w:r>
          </w:p>
        </w:tc>
        <w:tc>
          <w:tcPr>
            <w:tcW w:type="dxa" w:w="1728"/>
          </w:tcPr>
          <w:p>
            <w:r>
              <w:t>Missed cases</w:t>
            </w:r>
          </w:p>
        </w:tc>
      </w:tr>
      <w:tr>
        <w:tc>
          <w:tcPr>
            <w:tcW w:type="dxa" w:w="1728"/>
          </w:tcPr>
          <w:p>
            <w:r>
              <w:t>2020</w:t>
            </w:r>
          </w:p>
        </w:tc>
        <w:tc>
          <w:tcPr>
            <w:tcW w:type="dxa" w:w="1728"/>
          </w:tcPr>
          <w:p>
            <w:r>
              <w:t>1,629,301</w:t>
            </w:r>
          </w:p>
        </w:tc>
        <w:tc>
          <w:tcPr>
            <w:tcW w:type="dxa" w:w="1728"/>
          </w:tcPr>
          <w:p>
            <w:r>
              <w:t>2,769,835</w:t>
            </w:r>
          </w:p>
        </w:tc>
        <w:tc>
          <w:tcPr>
            <w:tcW w:type="dxa" w:w="1728"/>
          </w:tcPr>
          <w:p>
            <w:r>
              <w:t>58.8</w:t>
            </w:r>
          </w:p>
        </w:tc>
        <w:tc>
          <w:tcPr>
            <w:tcW w:type="dxa" w:w="1728"/>
          </w:tcPr>
          <w:p>
            <w:r>
              <w:t>1,140,534</w:t>
            </w:r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1,965,444</w:t>
            </w:r>
          </w:p>
        </w:tc>
        <w:tc>
          <w:tcPr>
            <w:tcW w:type="dxa" w:w="1728"/>
          </w:tcPr>
          <w:p>
            <w:r>
              <w:t>2,770,159</w:t>
            </w:r>
          </w:p>
        </w:tc>
        <w:tc>
          <w:tcPr>
            <w:tcW w:type="dxa" w:w="1728"/>
          </w:tcPr>
          <w:p>
            <w:r>
              <w:t>71.0</w:t>
            </w:r>
          </w:p>
        </w:tc>
        <w:tc>
          <w:tcPr>
            <w:tcW w:type="dxa" w:w="1728"/>
          </w:tcPr>
          <w:p>
            <w:r>
              <w:t>804,715</w:t>
            </w:r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2,255,641</w:t>
            </w:r>
          </w:p>
        </w:tc>
        <w:tc>
          <w:tcPr>
            <w:tcW w:type="dxa" w:w="1728"/>
          </w:tcPr>
          <w:p>
            <w:r>
              <w:t>2,789,940</w:t>
            </w:r>
          </w:p>
        </w:tc>
        <w:tc>
          <w:tcPr>
            <w:tcW w:type="dxa" w:w="1728"/>
          </w:tcPr>
          <w:p>
            <w:r>
              <w:t>80.8</w:t>
            </w:r>
          </w:p>
        </w:tc>
        <w:tc>
          <w:tcPr>
            <w:tcW w:type="dxa" w:w="1728"/>
          </w:tcPr>
          <w:p>
            <w:r>
              <w:t>534,299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2,382,714</w:t>
            </w:r>
          </w:p>
        </w:tc>
        <w:tc>
          <w:tcPr>
            <w:tcW w:type="dxa" w:w="1728"/>
          </w:tcPr>
          <w:p>
            <w:r>
              <w:t>2,760,553</w:t>
            </w:r>
          </w:p>
        </w:tc>
        <w:tc>
          <w:tcPr>
            <w:tcW w:type="dxa" w:w="1728"/>
          </w:tcPr>
          <w:p>
            <w:r>
              <w:t>86.3</w:t>
            </w:r>
          </w:p>
        </w:tc>
        <w:tc>
          <w:tcPr>
            <w:tcW w:type="dxa" w:w="1728"/>
          </w:tcPr>
          <w:p>
            <w:r>
              <w:t>377,839</w:t>
            </w:r>
          </w:p>
        </w:tc>
      </w:tr>
    </w:tbl>
    <w:p/>
    <w:p>
      <w:r>
        <w:t>**Figure 1.** National incidence vs. notifications with shaded missed cases (`output/figures/national_trend.png`).</w:t>
      </w:r>
    </w:p>
    <w:p/>
    <w:p>
      <w:pPr>
        <w:pStyle w:val="Heading3"/>
      </w:pPr>
      <w:r>
        <w:t>4.2 State contributions</w:t>
      </w:r>
    </w:p>
    <w:p>
      <w:r>
        <w:t>**Table 2.** States with highest missed-case burdens in 2023.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Notifications</w:t>
            </w:r>
          </w:p>
        </w:tc>
        <w:tc>
          <w:tcPr>
            <w:tcW w:type="dxa" w:w="1440"/>
          </w:tcPr>
          <w:p>
            <w:r>
              <w:t>Modeled incidence</w:t>
            </w:r>
          </w:p>
        </w:tc>
        <w:tc>
          <w:tcPr>
            <w:tcW w:type="dxa" w:w="1440"/>
          </w:tcPr>
          <w:p>
            <w:r>
              <w:t>Detection (%)</w:t>
            </w:r>
          </w:p>
        </w:tc>
        <w:tc>
          <w:tcPr>
            <w:tcW w:type="dxa" w:w="1440"/>
          </w:tcPr>
          <w:p>
            <w:r>
              <w:t>Missed cases</w:t>
            </w:r>
          </w:p>
        </w:tc>
        <w:tc>
          <w:tcPr>
            <w:tcW w:type="dxa" w:w="1440"/>
          </w:tcPr>
          <w:p>
            <w:r>
              <w:t>Additional notifications to reach 90% detection</w:t>
            </w:r>
          </w:p>
        </w:tc>
      </w:tr>
      <w:tr>
        <w:tc>
          <w:tcPr>
            <w:tcW w:type="dxa" w:w="1440"/>
          </w:tcPr>
          <w:p>
            <w:r>
              <w:t>Bihar</w:t>
            </w:r>
          </w:p>
        </w:tc>
        <w:tc>
          <w:tcPr>
            <w:tcW w:type="dxa" w:w="1440"/>
          </w:tcPr>
          <w:p>
            <w:r>
              <w:t>177,333</w:t>
            </w:r>
          </w:p>
        </w:tc>
        <w:tc>
          <w:tcPr>
            <w:tcW w:type="dxa" w:w="1440"/>
          </w:tcPr>
          <w:p>
            <w:r>
              <w:t>309,894</w:t>
            </w:r>
          </w:p>
        </w:tc>
        <w:tc>
          <w:tcPr>
            <w:tcW w:type="dxa" w:w="1440"/>
          </w:tcPr>
          <w:p>
            <w:r>
              <w:t>57.2</w:t>
            </w:r>
          </w:p>
        </w:tc>
        <w:tc>
          <w:tcPr>
            <w:tcW w:type="dxa" w:w="1440"/>
          </w:tcPr>
          <w:p>
            <w:r>
              <w:t>132,561</w:t>
            </w:r>
          </w:p>
        </w:tc>
        <w:tc>
          <w:tcPr>
            <w:tcW w:type="dxa" w:w="1440"/>
          </w:tcPr>
          <w:p>
            <w:r>
              <w:t>101,571</w:t>
            </w:r>
          </w:p>
        </w:tc>
      </w:tr>
      <w:tr>
        <w:tc>
          <w:tcPr>
            <w:tcW w:type="dxa" w:w="1440"/>
          </w:tcPr>
          <w:p>
            <w:r>
              <w:t>Uttar Pradesh</w:t>
            </w:r>
          </w:p>
        </w:tc>
        <w:tc>
          <w:tcPr>
            <w:tcW w:type="dxa" w:w="1440"/>
          </w:tcPr>
          <w:p>
            <w:r>
              <w:t>582,837</w:t>
            </w:r>
          </w:p>
        </w:tc>
        <w:tc>
          <w:tcPr>
            <w:tcW w:type="dxa" w:w="1440"/>
          </w:tcPr>
          <w:p>
            <w:r>
              <w:t>686,340</w:t>
            </w:r>
          </w:p>
        </w:tc>
        <w:tc>
          <w:tcPr>
            <w:tcW w:type="dxa" w:w="1440"/>
          </w:tcPr>
          <w:p>
            <w:r>
              <w:t>84.9</w:t>
            </w:r>
          </w:p>
        </w:tc>
        <w:tc>
          <w:tcPr>
            <w:tcW w:type="dxa" w:w="1440"/>
          </w:tcPr>
          <w:p>
            <w:r>
              <w:t>103,503</w:t>
            </w:r>
          </w:p>
        </w:tc>
        <w:tc>
          <w:tcPr>
            <w:tcW w:type="dxa" w:w="1440"/>
          </w:tcPr>
          <w:p>
            <w:r>
              <w:t>34,869</w:t>
            </w:r>
          </w:p>
        </w:tc>
      </w:tr>
      <w:tr>
        <w:tc>
          <w:tcPr>
            <w:tcW w:type="dxa" w:w="1440"/>
          </w:tcPr>
          <w:p>
            <w:r>
              <w:t>Madhya Pradesh</w:t>
            </w:r>
          </w:p>
        </w:tc>
        <w:tc>
          <w:tcPr>
            <w:tcW w:type="dxa" w:w="1440"/>
          </w:tcPr>
          <w:p>
            <w:r>
              <w:t>166,578</w:t>
            </w:r>
          </w:p>
        </w:tc>
        <w:tc>
          <w:tcPr>
            <w:tcW w:type="dxa" w:w="1440"/>
          </w:tcPr>
          <w:p>
            <w:r>
              <w:t>220,502</w:t>
            </w:r>
          </w:p>
        </w:tc>
        <w:tc>
          <w:tcPr>
            <w:tcW w:type="dxa" w:w="1440"/>
          </w:tcPr>
          <w:p>
            <w:r>
              <w:t>75.5</w:t>
            </w:r>
          </w:p>
        </w:tc>
        <w:tc>
          <w:tcPr>
            <w:tcW w:type="dxa" w:w="1440"/>
          </w:tcPr>
          <w:p>
            <w:r>
              <w:t>53,924</w:t>
            </w:r>
          </w:p>
        </w:tc>
        <w:tc>
          <w:tcPr>
            <w:tcW w:type="dxa" w:w="1440"/>
          </w:tcPr>
          <w:p>
            <w:r>
              <w:t>31,873</w:t>
            </w:r>
          </w:p>
        </w:tc>
      </w:tr>
      <w:tr>
        <w:tc>
          <w:tcPr>
            <w:tcW w:type="dxa" w:w="1440"/>
          </w:tcPr>
          <w:p>
            <w:r>
              <w:t>Assam</w:t>
            </w:r>
          </w:p>
        </w:tc>
        <w:tc>
          <w:tcPr>
            <w:tcW w:type="dxa" w:w="1440"/>
          </w:tcPr>
          <w:p>
            <w:r>
              <w:t>48,545</w:t>
            </w:r>
          </w:p>
        </w:tc>
        <w:tc>
          <w:tcPr>
            <w:tcW w:type="dxa" w:w="1440"/>
          </w:tcPr>
          <w:p>
            <w:r>
              <w:t>62,214</w:t>
            </w:r>
          </w:p>
        </w:tc>
        <w:tc>
          <w:tcPr>
            <w:tcW w:type="dxa" w:w="1440"/>
          </w:tcPr>
          <w:p>
            <w:r>
              <w:t>78.0</w:t>
            </w:r>
          </w:p>
        </w:tc>
        <w:tc>
          <w:tcPr>
            <w:tcW w:type="dxa" w:w="1440"/>
          </w:tcPr>
          <w:p>
            <w:r>
              <w:t>13,669</w:t>
            </w:r>
          </w:p>
        </w:tc>
        <w:tc>
          <w:tcPr>
            <w:tcW w:type="dxa" w:w="1440"/>
          </w:tcPr>
          <w:p>
            <w:r>
              <w:t>7,448</w:t>
            </w:r>
          </w:p>
        </w:tc>
      </w:tr>
      <w:tr>
        <w:tc>
          <w:tcPr>
            <w:tcW w:type="dxa" w:w="1440"/>
          </w:tcPr>
          <w:p>
            <w:r>
              <w:t>Jharkhand</w:t>
            </w:r>
          </w:p>
        </w:tc>
        <w:tc>
          <w:tcPr>
            <w:tcW w:type="dxa" w:w="1440"/>
          </w:tcPr>
          <w:p>
            <w:r>
              <w:t>54,821</w:t>
            </w:r>
          </w:p>
        </w:tc>
        <w:tc>
          <w:tcPr>
            <w:tcW w:type="dxa" w:w="1440"/>
          </w:tcPr>
          <w:p>
            <w:r>
              <w:t>67,532</w:t>
            </w:r>
          </w:p>
        </w:tc>
        <w:tc>
          <w:tcPr>
            <w:tcW w:type="dxa" w:w="1440"/>
          </w:tcPr>
          <w:p>
            <w:r>
              <w:t>81.2</w:t>
            </w:r>
          </w:p>
        </w:tc>
        <w:tc>
          <w:tcPr>
            <w:tcW w:type="dxa" w:w="1440"/>
          </w:tcPr>
          <w:p>
            <w:r>
              <w:t>12,711</w:t>
            </w:r>
          </w:p>
        </w:tc>
        <w:tc>
          <w:tcPr>
            <w:tcW w:type="dxa" w:w="1440"/>
          </w:tcPr>
          <w:p>
            <w:r>
              <w:t>5,958</w:t>
            </w:r>
          </w:p>
        </w:tc>
      </w:tr>
    </w:tbl>
    <w:p/>
    <w:p>
      <w:r>
        <w:t xml:space="preserve">**Figure 2.** States ranked by missed cases (`output/figures/top_states_missed.png`).  </w:t>
      </w:r>
    </w:p>
    <w:p>
      <w:r>
        <w:t>**Figure 3.** Detection coverage choropleth (`output/figures/state_detection_map.png`).</w:t>
      </w:r>
    </w:p>
    <w:p/>
    <w:p>
      <w:pPr>
        <w:pStyle w:val="Heading3"/>
      </w:pPr>
      <w:r>
        <w:t>4.3 Scenario requirements</w:t>
      </w:r>
    </w:p>
    <w:p>
      <w:r>
        <w:t>**Table 3.** Additional notifications required nationally to reach detection targets (2023 incidence baseline).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Target detection</w:t>
            </w:r>
          </w:p>
        </w:tc>
        <w:tc>
          <w:tcPr>
            <w:tcW w:type="dxa" w:w="4320"/>
          </w:tcPr>
          <w:p>
            <w:r>
              <w:t>Additional notifications (national)</w:t>
            </w:r>
          </w:p>
        </w:tc>
      </w:tr>
      <w:tr>
        <w:tc>
          <w:tcPr>
            <w:tcW w:type="dxa" w:w="4320"/>
          </w:tcPr>
          <w:p>
            <w:r>
              <w:t>80%</w:t>
            </w:r>
          </w:p>
        </w:tc>
        <w:tc>
          <w:tcPr>
            <w:tcW w:type="dxa" w:w="4320"/>
          </w:tcPr>
          <w:p>
            <w:r>
              <w:t>81,682</w:t>
            </w:r>
          </w:p>
        </w:tc>
      </w:tr>
      <w:tr>
        <w:tc>
          <w:tcPr>
            <w:tcW w:type="dxa" w:w="4320"/>
          </w:tcPr>
          <w:p>
            <w:r>
              <w:t>90%</w:t>
            </w:r>
          </w:p>
        </w:tc>
        <w:tc>
          <w:tcPr>
            <w:tcW w:type="dxa" w:w="4320"/>
          </w:tcPr>
          <w:p>
            <w:r>
              <w:t>182,487</w:t>
            </w:r>
          </w:p>
        </w:tc>
      </w:tr>
      <w:tr>
        <w:tc>
          <w:tcPr>
            <w:tcW w:type="dxa" w:w="4320"/>
          </w:tcPr>
          <w:p>
            <w:r>
              <w:t>95%</w:t>
            </w:r>
          </w:p>
        </w:tc>
        <w:tc>
          <w:tcPr>
            <w:tcW w:type="dxa" w:w="4320"/>
          </w:tcPr>
          <w:p>
            <w:r>
              <w:t>260,021</w:t>
            </w:r>
          </w:p>
        </w:tc>
      </w:tr>
    </w:tbl>
    <w:p/>
    <w:p>
      <w:r>
        <w:t>At 90% detection, ~73% of extra notifications must come from Bihar and Madhya Pradesh; Uttar Pradesh contributes ~19%.</w:t>
      </w:r>
    </w:p>
    <w:p/>
    <w:p>
      <w:pPr>
        <w:pStyle w:val="Heading3"/>
      </w:pPr>
      <w:r>
        <w:t>4.4 Qualitative policy insights</w:t>
      </w:r>
    </w:p>
    <w:p>
      <w:pPr>
        <w:pStyle w:val="ListBullet"/>
      </w:pPr>
      <w:r>
        <w:t>**Cascade alignment:** States with strong DM/tobacco/alcohol cascade performance (e.g., Gujarat, Tamil Nadu) exhibit detection ≳95%.</w:t>
      </w:r>
    </w:p>
    <w:p>
      <w:pPr>
        <w:pStyle w:val="ListBullet"/>
      </w:pPr>
      <w:r>
        <w:t>**Risk clustering:** Eastern states (Bihar, Jharkhand, Assam) retain high NFHS-5 risk scores and require sustained multi-sectoral interventions.</w:t>
      </w:r>
    </w:p>
    <w:p>
      <w:pPr>
        <w:pStyle w:val="ListBullet"/>
      </w:pPr>
      <w:r>
        <w:t>**Progress tracking:** `reports/analysis_summary.md` offers a single-page briefing for quarterly reviews.</w:t>
      </w:r>
    </w:p>
    <w:p/>
    <w:p>
      <w:r>
        <w:t>---</w:t>
      </w:r>
    </w:p>
    <w:p/>
    <w:p>
      <w:pPr>
        <w:pStyle w:val="Heading2"/>
      </w:pPr>
      <w:r>
        <w:t>5. Discussion</w:t>
      </w:r>
    </w:p>
    <w:p>
      <w:pPr>
        <w:pStyle w:val="ListNumber"/>
      </w:pPr>
      <w:r>
        <w:t>**Rapid recovery with persistent pockets:** Detection gained 27 percentage points since 2020, yet Bihar’s coverage (57%) and Madhya Pradesh’s (75%) remain far from WHO’s 90% benchmark. WHO underscores the urgency of detecting the “missing millions” to prevent rebound transmission [1].</w:t>
      </w:r>
    </w:p>
    <w:p>
      <w:pPr>
        <w:pStyle w:val="ListNumber"/>
      </w:pPr>
      <w:r>
        <w:t>**System metrics are predictive:** Cascade indicators—especially DM screening and treatment linkages—strongly correlate with detection, echoing India TB Report calls for differentiated TB care and private-sector engagement [2,3].</w:t>
      </w:r>
    </w:p>
    <w:p>
      <w:pPr>
        <w:pStyle w:val="ListNumber"/>
      </w:pPr>
      <w:r>
        <w:t>**Risk remains structural:** NFHS-5 highlights persistent undernutrition, anemia, and energy poverty in the eastern belt, aligning with prior studies linking socioeconomic deprivation to TB risk [6,7].</w:t>
      </w:r>
    </w:p>
    <w:p>
      <w:pPr>
        <w:pStyle w:val="ListNumber"/>
      </w:pPr>
      <w:r>
        <w:t>**Policy implications:**</w:t>
      </w:r>
    </w:p>
    <w:p>
      <w:pPr>
        <w:pStyle w:val="ListBullet"/>
      </w:pPr>
      <w:r>
        <w:t>**Bihar:** Launch a task force combining Ni-kshay Mitra-driven active case finding, DM/tobacco screening, and incentives for private notifications to capture the extra 102k cases required for 90% detection.</w:t>
      </w:r>
    </w:p>
    <w:p>
      <w:pPr>
        <w:pStyle w:val="ListBullet"/>
      </w:pPr>
      <w:r>
        <w:t>**Madhya Pradesh:** Add molecular hubs and strengthen PPSA coverage (per Table 12.2 of India TB Report) to capture the additional 32k cases.</w:t>
      </w:r>
    </w:p>
    <w:p>
      <w:pPr>
        <w:pStyle w:val="ListBullet"/>
      </w:pPr>
      <w:r>
        <w:t>**Assam/Jharkhand:** Focus on comorbidity screening and community-based care to close residual gaps (&lt;8k each).</w:t>
      </w:r>
    </w:p>
    <w:p>
      <w:pPr>
        <w:pStyle w:val="ListBullet"/>
      </w:pPr>
      <w:r>
        <w:t>**High performers:** Maharashtra, Gujarat, and Tamil Nadu should prioritise treatment success and DR-TB management rather than further case-finding expansion.</w:t>
      </w:r>
    </w:p>
    <w:p/>
    <w:p>
      <w:r>
        <w:t>---</w:t>
      </w:r>
    </w:p>
    <w:p/>
    <w:p>
      <w:pPr>
        <w:pStyle w:val="Heading2"/>
      </w:pPr>
      <w:r>
        <w:t>6. Strengths and limitations</w:t>
      </w:r>
    </w:p>
    <w:p>
      <w:r>
        <w:t xml:space="preserve">**Strengths:**  </w:t>
      </w:r>
    </w:p>
    <w:p>
      <w:pPr>
        <w:pStyle w:val="ListBullet"/>
      </w:pPr>
      <w:r>
        <w:t>Fully reproducible pipeline with version-controlled scripts.</w:t>
      </w:r>
    </w:p>
    <w:p>
      <w:pPr>
        <w:pStyle w:val="ListBullet"/>
      </w:pPr>
      <w:r>
        <w:t>Direct use of WHO CSVs ensures alignment with global reporting.</w:t>
      </w:r>
    </w:p>
    <w:p>
      <w:pPr>
        <w:pStyle w:val="ListBullet"/>
      </w:pPr>
      <w:r>
        <w:t>Integration of cascade and NFHS-5 covariates provides interpretable drivers.</w:t>
      </w:r>
    </w:p>
    <w:p/>
    <w:p>
      <w:r>
        <w:t xml:space="preserve">**Limitations:**  </w:t>
      </w:r>
    </w:p>
    <w:p>
      <w:pPr>
        <w:pStyle w:val="ListBullet"/>
      </w:pPr>
      <w:r>
        <w:t>State notification distribution relies on Ni-kshay exports; if official India TB Report tables differ, state shares may shift.</w:t>
      </w:r>
    </w:p>
    <w:p>
      <w:pPr>
        <w:pStyle w:val="ListBullet"/>
      </w:pPr>
      <w:r>
        <w:t>NFHS-5 reflects 2019–2021 risk; improvements since then are not captured.</w:t>
      </w:r>
    </w:p>
    <w:p>
      <w:pPr>
        <w:pStyle w:val="ListBullet"/>
      </w:pPr>
      <w:r>
        <w:t>Deterministic outputs lack explicit uncertainty intervals; future work will revive the PyMC model once state-level priors are released.</w:t>
      </w:r>
    </w:p>
    <w:p>
      <w:pPr>
        <w:pStyle w:val="ListBullet"/>
      </w:pPr>
      <w:r>
        <w:t>GeoJSON layer omits Ladakh and merged Dadra &amp; Nagar Haveli–Daman &amp; Diu in visualisations (though data are in tables).</w:t>
      </w:r>
    </w:p>
    <w:p/>
    <w:p>
      <w:r>
        <w:t>---</w:t>
      </w:r>
    </w:p>
    <w:p/>
    <w:p>
      <w:pPr>
        <w:pStyle w:val="Heading2"/>
      </w:pPr>
      <w:r>
        <w:t>7. Conclusions</w:t>
      </w:r>
    </w:p>
    <w:p>
      <w:r>
        <w:t>India’s detection coverage is on an upward trajectory, but sustained progress hinges on targeted investments in Bihar, Madhya Pradesh, and select eastern states. The automation pipeline presented here provides a transparent, update-ready mechanism for tracking missed cases, informing policy briefs, and aligning national action with WHO’s detection benchmarks.</w:t>
      </w:r>
    </w:p>
    <w:p/>
    <w:p>
      <w:r>
        <w:t>---</w:t>
      </w:r>
    </w:p>
    <w:p/>
    <w:p>
      <w:pPr>
        <w:pStyle w:val="Heading2"/>
      </w:pPr>
      <w:r>
        <w:t>References</w:t>
      </w:r>
    </w:p>
    <w:p>
      <w:pPr>
        <w:pStyle w:val="ListNumber"/>
      </w:pPr>
      <w:r>
        <w:t>World Health Organization. *Global Tuberculosis Report 2024.* Geneva: WHO; 2024. (CSV downloads accessed Nov 2025).</w:t>
      </w:r>
    </w:p>
    <w:p>
      <w:pPr>
        <w:pStyle w:val="ListNumber"/>
      </w:pPr>
      <w:r>
        <w:t>Central TB Division, Ministry of Health &amp; Family Welfare. *India TB Report 2024.* New Delhi: CTD; 2024.</w:t>
      </w:r>
    </w:p>
    <w:p>
      <w:pPr>
        <w:pStyle w:val="ListNumber"/>
      </w:pPr>
      <w:r>
        <w:t>Ni-kshay. *Private Sector Engagement and PPSA Performance Dashboards.* National TB Elimination Programme; 2024.</w:t>
      </w:r>
    </w:p>
    <w:p>
      <w:pPr>
        <w:pStyle w:val="ListNumber"/>
      </w:pPr>
      <w:r>
        <w:t>WHO. *National Framework for Gender-Responsive TB Care in India.* Geneva: WHO; 2023.</w:t>
      </w:r>
    </w:p>
    <w:p>
      <w:pPr>
        <w:pStyle w:val="ListNumber"/>
      </w:pPr>
      <w:r>
        <w:t>Rajya Sabha Secretariat. *Ni-kshay State TB Notification Tables—Sessions 260 &amp; 266.* Parliament of India; 2024.</w:t>
      </w:r>
    </w:p>
    <w:p>
      <w:pPr>
        <w:pStyle w:val="ListNumber"/>
      </w:pPr>
      <w:r>
        <w:t>International Institute for Population Sciences (IIPS) &amp; ICF. *National Family Health Survey (NFHS-5), 2019–21: India.* Mumbai: IIPS; 2021.</w:t>
      </w:r>
    </w:p>
    <w:p>
      <w:pPr>
        <w:pStyle w:val="ListNumber"/>
      </w:pPr>
      <w:r>
        <w:t>Bhargava A, Jain Y. “Social determinants of tuberculosis.” *Indian J Med Res.* 2020;151(5):417–419.</w:t>
      </w:r>
    </w:p>
    <w:p>
      <w:pPr>
        <w:pStyle w:val="ListNumber"/>
      </w:pPr>
      <w:r>
        <w:t>WHO. *End TB Strategy: Updated Operational Guidance.* Geneva: WHO;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