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Toward Closing India’s Missed TB Case Gap: A Multi-source State Analysis (Version 3)</w:t>
      </w:r>
    </w:p>
    <w:p/>
    <w:p>
      <w:pPr>
        <w:pStyle w:val="Heading2"/>
      </w:pPr>
      <w:r>
        <w:t>Abstract</w:t>
      </w:r>
    </w:p>
    <w:p>
      <w:r>
        <w:t xml:space="preserve">**Background:** India continues to shoulder the world’s largest tuberculosis (TB) burden despite record notifications and expanded digital surveillance. Quantifying the gap between incident TB and notified cases at state level enables targeted investments aligned with the End TB Strategy.  </w:t>
      </w:r>
    </w:p>
    <w:p>
      <w:r>
        <w:t xml:space="preserve">**Methods:** We integrated the 2024 WHO TB dataset (incidence, mortality, national notification totals), Ni-kshay state exports (2020–2023 plus Jan–Oct 2024), India TB Report cascade indicators (diabetes, tobacco, alcohol screening), and NFHS-5 risk factors. A deterministic calibration scales state notifications so yearly sums match the WHO national totals and solves for detection probabilities using system-strength and risk indices. Outputs include national/state time series, detection categories, and scenario analyses for 80%, 90%, and 95% detection coverage.  </w:t>
      </w:r>
    </w:p>
    <w:p>
      <w:r>
        <w:t xml:space="preserve">**Results:** National detection improved from 58.8% in 2020 to 86.3% in 2023, reducing missed cases from 1.14 million to 0.38 million. Bihar (57% detection), Uttar Pradesh (85%), and Madhya Pradesh (75%) account for 53% of the residual gap. Reaching 90% detection nationally requires approximately 182,000 additional notifications annually, of which ~73% must come from Bihar (~102,000) and Madhya Pradesh (~32,000).  </w:t>
      </w:r>
    </w:p>
    <w:p>
      <w:r>
        <w:t>**Conclusions:** System-strength proxies from India TB Report cascades align closely with detection performance. Intensified comorbidity screening, private-sector engagement, and targeted active case finding in eastern states could eliminate two-thirds of the remaining national gap, supporting the WHO call to “find all the missing” TB cases.</w:t>
      </w:r>
    </w:p>
    <w:p/>
    <w:p>
      <w:r>
        <w:t>---</w:t>
      </w:r>
    </w:p>
    <w:p/>
    <w:p>
      <w:pPr>
        <w:pStyle w:val="Heading2"/>
      </w:pPr>
      <w:r>
        <w:t>1. Introduction</w:t>
      </w:r>
    </w:p>
    <w:p>
      <w:r>
        <w:t>India notified 2.55 million TB cases in 2023, yet WHO still estimates roughly 2.76 million incident cases [1]. The difference—people with TB who are undiagnosed or unreported—remains a critical barrier to the End TB Strategy. State-level evidence is essential because socioeconomic determinants, health-system capacity, and private-sector dynamics vary widely [2–4]. This Version 3 manuscript synthesises the latest WHO, Ni-kshay, India TB Report, and NFHS-5 data to quantify state missed cases, highlight progress, and identify actionable pathways to detection targets.</w:t>
      </w:r>
    </w:p>
    <w:p/>
    <w:p>
      <w:r>
        <w:t>---</w:t>
      </w:r>
    </w:p>
    <w:p/>
    <w:p>
      <w:pPr>
        <w:pStyle w:val="Heading2"/>
      </w:pPr>
      <w:r>
        <w:t>2. Data and sources</w:t>
      </w:r>
    </w:p>
    <w:p>
      <w:pPr>
        <w:pStyle w:val="ListNumber"/>
      </w:pPr>
      <w:r>
        <w:t>**WHO TB data release (2024):** Provides incidence, mortality, and national notification totals derived from WHO’s surveillance compilation; these totals replace internal Ni-kshay sums to maintain consistency with global reporting [1].</w:t>
      </w:r>
    </w:p>
    <w:p>
      <w:pPr>
        <w:pStyle w:val="ListNumber"/>
      </w:pPr>
      <w:r>
        <w:t>**Ni-kshay &amp; Rajya Sabha CSV exports:** Annual state notification counts, age/sex distributions, 2024 Jan–Oct tallies, and treatment outcomes [5].</w:t>
      </w:r>
    </w:p>
    <w:p>
      <w:pPr>
        <w:pStyle w:val="ListNumber"/>
      </w:pPr>
      <w:r>
        <w:t>**India TB Report 2024 cascade annex:** Diabetes, tobacco, and alcohol screening/treatment indicators that reflect health-system performance [2].</w:t>
      </w:r>
    </w:p>
    <w:p>
      <w:pPr>
        <w:pStyle w:val="ListNumber"/>
      </w:pPr>
      <w:r>
        <w:t>**NFHS-5 (2019–21):** State-level prevalence of stunting, underweight, anemia, tobacco/alcohol use, sanitation, and clean fuel adoption [6].</w:t>
      </w:r>
    </w:p>
    <w:p>
      <w:pPr>
        <w:pStyle w:val="ListNumber"/>
      </w:pPr>
      <w:r>
        <w:t>**Supplementary WHO annexes:** Drug-resistant TB burden, treatment outcomes, and age-sex incidence structures for sensitivity checks.</w:t>
      </w:r>
    </w:p>
    <w:p/>
    <w:p>
      <w:r>
        <w:t>---</w:t>
      </w:r>
    </w:p>
    <w:p/>
    <w:p>
      <w:pPr>
        <w:pStyle w:val="Heading2"/>
      </w:pPr>
      <w:r>
        <w:t>3. Methods</w:t>
      </w:r>
    </w:p>
    <w:p/>
    <w:p>
      <w:pPr>
        <w:pStyle w:val="Heading3"/>
      </w:pPr>
      <w:r>
        <w:t>3.1 Data processing</w:t>
      </w:r>
    </w:p>
    <w:p>
      <w:pPr>
        <w:pStyle w:val="ListBullet"/>
      </w:pPr>
      <w:r>
        <w:t>`scripts/07_process_who_resource_files.py` converts the WHO CSV bundle into a clean India time series (incidence, mortality, population, and national notifications).</w:t>
      </w:r>
    </w:p>
    <w:p>
      <w:pPr>
        <w:pStyle w:val="ListBullet"/>
      </w:pPr>
      <w:r>
        <w:t>`scripts/02_ingest_india_tb_reports.py` tidies state notification exports.</w:t>
      </w:r>
    </w:p>
    <w:p>
      <w:pPr>
        <w:pStyle w:val="ListBullet"/>
      </w:pPr>
      <w:r>
        <w:t>`scripts/03_build_state_panel.py` merges cascade and NFHS data to produce `state_year_panel.csv`.</w:t>
      </w:r>
    </w:p>
    <w:p/>
    <w:p>
      <w:pPr>
        <w:pStyle w:val="Heading3"/>
      </w:pPr>
      <w:r>
        <w:t>3.2 Deterministic detection calibration</w:t>
      </w:r>
    </w:p>
    <w:p>
      <w:pPr>
        <w:pStyle w:val="ListNumber"/>
      </w:pPr>
      <w:r>
        <w:t>**Scaling:** State notifications are proportionally scaled each year so their sum matches the WHO national notification total.</w:t>
      </w:r>
    </w:p>
    <w:p>
      <w:pPr>
        <w:pStyle w:val="ListNumber"/>
      </w:pPr>
      <w:r>
        <w:t>**Indices:**</w:t>
      </w:r>
    </w:p>
    <w:p>
      <w:pPr>
        <w:pStyle w:val="ListBullet"/>
      </w:pPr>
      <w:r>
        <w:t>*System strength* = weighted combination of cascade indicators (screening coverage, diagnosis yield, treatment initiation).</w:t>
      </w:r>
    </w:p>
    <w:p>
      <w:pPr>
        <w:pStyle w:val="ListBullet"/>
      </w:pPr>
      <w:r>
        <w:t>*Risk burden* = NFHS-5 z-scores for malnutrition, anemia, tobacco/alcohol use minus protective factors (sanitation, clean fuel).</w:t>
      </w:r>
    </w:p>
    <w:p>
      <w:pPr>
        <w:pStyle w:val="ListNumber"/>
      </w:pPr>
      <w:r>
        <w:t>**Logistic model:**</w:t>
      </w:r>
    </w:p>
    <w:p>
      <w:r>
        <w:t xml:space="preserve">   \[</w:t>
      </w:r>
    </w:p>
    <w:p>
      <w:r>
        <w:t xml:space="preserve">   \text{logit}(p_{s,t}) = \alpha_t + 0.9\cdot\text{system}_z - 0.5\cdot\text{risk}_z</w:t>
      </w:r>
    </w:p>
    <w:p>
      <w:r>
        <w:t xml:space="preserve">   \]</w:t>
      </w:r>
    </w:p>
    <w:p>
      <w:r>
        <w:t xml:space="preserve">   The intercept \(\alpha_t\) is solved so that \(\sum \text{notifications}_{s,t}/p_{s,t} = \text{incidence}_t\). Detection probabilities are clipped between 0.2 and 0.98.  </w:t>
      </w:r>
    </w:p>
    <w:p>
      <w:pPr>
        <w:pStyle w:val="ListNumber"/>
      </w:pPr>
      <w:r>
        <w:t>**Derived metrics:** \( \text{incidence}_{s,t} = \text{notifications}_{s,t}/p_{s,t} \); \( \text{missed}_{s,t} = \text{incidence}_{s,t} - \text{notifications}_{s,t} \); detection categories (&lt;75%, 75–85%, &gt;85%).</w:t>
      </w:r>
    </w:p>
    <w:p>
      <w:pPr>
        <w:pStyle w:val="ListNumber"/>
      </w:pPr>
      <w:r>
        <w:t>**Scenario modelling:** Additional notifications = \( \max(0, \text{target} \cdot \text{incidence}_{s,t} - \text{notifications}_{s,t})\) for target detection levels of 80%, 90%, and 95%.</w:t>
      </w:r>
    </w:p>
    <w:p/>
    <w:p>
      <w:pPr>
        <w:pStyle w:val="Heading3"/>
      </w:pPr>
      <w:r>
        <w:t>3.3 Validation &amp; reproducibility</w:t>
      </w:r>
    </w:p>
    <w:p>
      <w:pPr>
        <w:pStyle w:val="ListBullet"/>
      </w:pPr>
      <w:r>
        <w:t>National totals are double-checked to match WHO incidence and notification figures.</w:t>
      </w:r>
    </w:p>
    <w:p>
      <w:r>
        <w:t xml:space="preserve">+- Scripts are version-controlled; rerunning 07 → 02 → 03 → 06 reproduces all tables/figures.  </w:t>
      </w:r>
    </w:p>
    <w:p>
      <w:pPr>
        <w:pStyle w:val="ListBullet"/>
      </w:pPr>
      <w:r>
        <w:t>Markdown is converted to DOCX for dissemination, ensuring the manuscript reflects the same data as the pipeline.</w:t>
      </w:r>
    </w:p>
    <w:p/>
    <w:p>
      <w:r>
        <w:t>---</w:t>
      </w:r>
    </w:p>
    <w:p/>
    <w:p>
      <w:pPr>
        <w:pStyle w:val="Heading2"/>
      </w:pPr>
      <w:r>
        <w:t>4. Results</w:t>
      </w:r>
    </w:p>
    <w:p/>
    <w:p>
      <w:pPr>
        <w:pStyle w:val="Heading3"/>
      </w:pPr>
      <w:r>
        <w:t>4.1 National trajectory</w:t>
      </w:r>
    </w:p>
    <w:p>
      <w:r>
        <w:t>**Table 1. National detection coverage, 2020–2023.**</w:t>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Notifications</w:t>
            </w:r>
          </w:p>
        </w:tc>
        <w:tc>
          <w:tcPr>
            <w:tcW w:type="dxa" w:w="1728"/>
          </w:tcPr>
          <w:p>
            <w:r>
              <w:t>Modeled incidence</w:t>
            </w:r>
          </w:p>
        </w:tc>
        <w:tc>
          <w:tcPr>
            <w:tcW w:type="dxa" w:w="1728"/>
          </w:tcPr>
          <w:p>
            <w:r>
              <w:t>Detection (%)</w:t>
            </w:r>
          </w:p>
        </w:tc>
        <w:tc>
          <w:tcPr>
            <w:tcW w:type="dxa" w:w="1728"/>
          </w:tcPr>
          <w:p>
            <w:r>
              <w:t>Missed cases</w:t>
            </w:r>
          </w:p>
        </w:tc>
      </w:tr>
      <w:tr>
        <w:tc>
          <w:tcPr>
            <w:tcW w:type="dxa" w:w="1728"/>
          </w:tcPr>
          <w:p>
            <w:r>
              <w:t>2020</w:t>
            </w:r>
          </w:p>
        </w:tc>
        <w:tc>
          <w:tcPr>
            <w:tcW w:type="dxa" w:w="1728"/>
          </w:tcPr>
          <w:p>
            <w:r>
              <w:t>1,629,301</w:t>
            </w:r>
          </w:p>
        </w:tc>
        <w:tc>
          <w:tcPr>
            <w:tcW w:type="dxa" w:w="1728"/>
          </w:tcPr>
          <w:p>
            <w:r>
              <w:t>2,769,835</w:t>
            </w:r>
          </w:p>
        </w:tc>
        <w:tc>
          <w:tcPr>
            <w:tcW w:type="dxa" w:w="1728"/>
          </w:tcPr>
          <w:p>
            <w:r>
              <w:t>58.8</w:t>
            </w:r>
          </w:p>
        </w:tc>
        <w:tc>
          <w:tcPr>
            <w:tcW w:type="dxa" w:w="1728"/>
          </w:tcPr>
          <w:p>
            <w:r>
              <w:t>1,140,534</w:t>
            </w:r>
          </w:p>
        </w:tc>
      </w:tr>
      <w:tr>
        <w:tc>
          <w:tcPr>
            <w:tcW w:type="dxa" w:w="1728"/>
          </w:tcPr>
          <w:p>
            <w:r>
              <w:t>2021</w:t>
            </w:r>
          </w:p>
        </w:tc>
        <w:tc>
          <w:tcPr>
            <w:tcW w:type="dxa" w:w="1728"/>
          </w:tcPr>
          <w:p>
            <w:r>
              <w:t>1,965,444</w:t>
            </w:r>
          </w:p>
        </w:tc>
        <w:tc>
          <w:tcPr>
            <w:tcW w:type="dxa" w:w="1728"/>
          </w:tcPr>
          <w:p>
            <w:r>
              <w:t>2,770,159</w:t>
            </w:r>
          </w:p>
        </w:tc>
        <w:tc>
          <w:tcPr>
            <w:tcW w:type="dxa" w:w="1728"/>
          </w:tcPr>
          <w:p>
            <w:r>
              <w:t>71.0</w:t>
            </w:r>
          </w:p>
        </w:tc>
        <w:tc>
          <w:tcPr>
            <w:tcW w:type="dxa" w:w="1728"/>
          </w:tcPr>
          <w:p>
            <w:r>
              <w:t>804,715</w:t>
            </w:r>
          </w:p>
        </w:tc>
      </w:tr>
      <w:tr>
        <w:tc>
          <w:tcPr>
            <w:tcW w:type="dxa" w:w="1728"/>
          </w:tcPr>
          <w:p>
            <w:r>
              <w:t>2022</w:t>
            </w:r>
          </w:p>
        </w:tc>
        <w:tc>
          <w:tcPr>
            <w:tcW w:type="dxa" w:w="1728"/>
          </w:tcPr>
          <w:p>
            <w:r>
              <w:t>2,255,641</w:t>
            </w:r>
          </w:p>
        </w:tc>
        <w:tc>
          <w:tcPr>
            <w:tcW w:type="dxa" w:w="1728"/>
          </w:tcPr>
          <w:p>
            <w:r>
              <w:t>2,789,940</w:t>
            </w:r>
          </w:p>
        </w:tc>
        <w:tc>
          <w:tcPr>
            <w:tcW w:type="dxa" w:w="1728"/>
          </w:tcPr>
          <w:p>
            <w:r>
              <w:t>80.8</w:t>
            </w:r>
          </w:p>
        </w:tc>
        <w:tc>
          <w:tcPr>
            <w:tcW w:type="dxa" w:w="1728"/>
          </w:tcPr>
          <w:p>
            <w:r>
              <w:t>534,299</w:t>
            </w:r>
          </w:p>
        </w:tc>
      </w:tr>
      <w:tr>
        <w:tc>
          <w:tcPr>
            <w:tcW w:type="dxa" w:w="1728"/>
          </w:tcPr>
          <w:p>
            <w:r>
              <w:t>2023</w:t>
            </w:r>
          </w:p>
        </w:tc>
        <w:tc>
          <w:tcPr>
            <w:tcW w:type="dxa" w:w="1728"/>
          </w:tcPr>
          <w:p>
            <w:r>
              <w:t>2,382,714</w:t>
            </w:r>
          </w:p>
        </w:tc>
        <w:tc>
          <w:tcPr>
            <w:tcW w:type="dxa" w:w="1728"/>
          </w:tcPr>
          <w:p>
            <w:r>
              <w:t>2,760,553</w:t>
            </w:r>
          </w:p>
        </w:tc>
        <w:tc>
          <w:tcPr>
            <w:tcW w:type="dxa" w:w="1728"/>
          </w:tcPr>
          <w:p>
            <w:r>
              <w:t>86.3</w:t>
            </w:r>
          </w:p>
        </w:tc>
        <w:tc>
          <w:tcPr>
            <w:tcW w:type="dxa" w:w="1728"/>
          </w:tcPr>
          <w:p>
            <w:r>
              <w:t>377,839</w:t>
            </w:r>
          </w:p>
        </w:tc>
      </w:tr>
    </w:tbl>
    <w:p/>
    <w:p>
      <w:r>
        <w:t>Detection rebounded as pandemic disruptions eased; however, ~0.38 million people remained missed in 2023.</w:t>
      </w:r>
    </w:p>
    <w:p/>
    <w:p>
      <w:pPr>
        <w:pStyle w:val="Heading3"/>
      </w:pPr>
      <w:r>
        <w:t>4.2 State contributions</w:t>
      </w:r>
    </w:p>
    <w:p>
      <w:r>
        <w:t>**Table 2. Highest missed-case states, 2023.**</w:t>
      </w:r>
    </w:p>
    <w:p/>
    <w:tbl>
      <w:tblPr>
        <w:tblW w:type="auto" w:w="0"/>
        <w:tblLook w:firstColumn="1" w:firstRow="1" w:lastColumn="0" w:lastRow="0" w:noHBand="0" w:noVBand="1" w:val="04A0"/>
      </w:tblPr>
      <w:tblGrid>
        <w:gridCol w:w="2160"/>
        <w:gridCol w:w="2160"/>
        <w:gridCol w:w="2160"/>
        <w:gridCol w:w="2160"/>
      </w:tblGrid>
      <w:tr>
        <w:tc>
          <w:tcPr>
            <w:tcW w:type="dxa" w:w="2160"/>
          </w:tcPr>
          <w:p>
            <w:r>
              <w:t>State</w:t>
            </w:r>
          </w:p>
        </w:tc>
        <w:tc>
          <w:tcPr>
            <w:tcW w:type="dxa" w:w="2160"/>
          </w:tcPr>
          <w:p>
            <w:r>
              <w:t>Detection (%)</w:t>
            </w:r>
          </w:p>
        </w:tc>
        <w:tc>
          <w:tcPr>
            <w:tcW w:type="dxa" w:w="2160"/>
          </w:tcPr>
          <w:p>
            <w:r>
              <w:t>Missed cases</w:t>
            </w:r>
          </w:p>
        </w:tc>
        <w:tc>
          <w:tcPr>
            <w:tcW w:type="dxa" w:w="2160"/>
          </w:tcPr>
          <w:p>
            <w:r>
              <w:t>Additional notifications to reach 90% detection</w:t>
            </w:r>
          </w:p>
        </w:tc>
      </w:tr>
      <w:tr>
        <w:tc>
          <w:tcPr>
            <w:tcW w:type="dxa" w:w="2160"/>
          </w:tcPr>
          <w:p>
            <w:r>
              <w:t>Bihar</w:t>
            </w:r>
          </w:p>
        </w:tc>
        <w:tc>
          <w:tcPr>
            <w:tcW w:type="dxa" w:w="2160"/>
          </w:tcPr>
          <w:p>
            <w:r>
              <w:t>57.2</w:t>
            </w:r>
          </w:p>
        </w:tc>
        <w:tc>
          <w:tcPr>
            <w:tcW w:type="dxa" w:w="2160"/>
          </w:tcPr>
          <w:p>
            <w:r>
              <w:t>132,561</w:t>
            </w:r>
          </w:p>
        </w:tc>
        <w:tc>
          <w:tcPr>
            <w:tcW w:type="dxa" w:w="2160"/>
          </w:tcPr>
          <w:p>
            <w:r>
              <w:t>101,571</w:t>
            </w:r>
          </w:p>
        </w:tc>
      </w:tr>
      <w:tr>
        <w:tc>
          <w:tcPr>
            <w:tcW w:type="dxa" w:w="2160"/>
          </w:tcPr>
          <w:p>
            <w:r>
              <w:t>Uttar Pradesh</w:t>
            </w:r>
          </w:p>
        </w:tc>
        <w:tc>
          <w:tcPr>
            <w:tcW w:type="dxa" w:w="2160"/>
          </w:tcPr>
          <w:p>
            <w:r>
              <w:t>84.9</w:t>
            </w:r>
          </w:p>
        </w:tc>
        <w:tc>
          <w:tcPr>
            <w:tcW w:type="dxa" w:w="2160"/>
          </w:tcPr>
          <w:p>
            <w:r>
              <w:t>103,503</w:t>
            </w:r>
          </w:p>
        </w:tc>
        <w:tc>
          <w:tcPr>
            <w:tcW w:type="dxa" w:w="2160"/>
          </w:tcPr>
          <w:p>
            <w:r>
              <w:t>34,869</w:t>
            </w:r>
          </w:p>
        </w:tc>
      </w:tr>
      <w:tr>
        <w:tc>
          <w:tcPr>
            <w:tcW w:type="dxa" w:w="2160"/>
          </w:tcPr>
          <w:p>
            <w:r>
              <w:t>Madhya Pradesh</w:t>
            </w:r>
          </w:p>
        </w:tc>
        <w:tc>
          <w:tcPr>
            <w:tcW w:type="dxa" w:w="2160"/>
          </w:tcPr>
          <w:p>
            <w:r>
              <w:t>75.5</w:t>
            </w:r>
          </w:p>
        </w:tc>
        <w:tc>
          <w:tcPr>
            <w:tcW w:type="dxa" w:w="2160"/>
          </w:tcPr>
          <w:p>
            <w:r>
              <w:t>53,924</w:t>
            </w:r>
          </w:p>
        </w:tc>
        <w:tc>
          <w:tcPr>
            <w:tcW w:type="dxa" w:w="2160"/>
          </w:tcPr>
          <w:p>
            <w:r>
              <w:t>31,873</w:t>
            </w:r>
          </w:p>
        </w:tc>
      </w:tr>
      <w:tr>
        <w:tc>
          <w:tcPr>
            <w:tcW w:type="dxa" w:w="2160"/>
          </w:tcPr>
          <w:p>
            <w:r>
              <w:t>Assam</w:t>
            </w:r>
          </w:p>
        </w:tc>
        <w:tc>
          <w:tcPr>
            <w:tcW w:type="dxa" w:w="2160"/>
          </w:tcPr>
          <w:p>
            <w:r>
              <w:t>78.0</w:t>
            </w:r>
          </w:p>
        </w:tc>
        <w:tc>
          <w:tcPr>
            <w:tcW w:type="dxa" w:w="2160"/>
          </w:tcPr>
          <w:p>
            <w:r>
              <w:t>13,669</w:t>
            </w:r>
          </w:p>
        </w:tc>
        <w:tc>
          <w:tcPr>
            <w:tcW w:type="dxa" w:w="2160"/>
          </w:tcPr>
          <w:p>
            <w:r>
              <w:t>7,448</w:t>
            </w:r>
          </w:p>
        </w:tc>
      </w:tr>
      <w:tr>
        <w:tc>
          <w:tcPr>
            <w:tcW w:type="dxa" w:w="2160"/>
          </w:tcPr>
          <w:p>
            <w:r>
              <w:t>Jharkhand</w:t>
            </w:r>
          </w:p>
        </w:tc>
        <w:tc>
          <w:tcPr>
            <w:tcW w:type="dxa" w:w="2160"/>
          </w:tcPr>
          <w:p>
            <w:r>
              <w:t>81.2</w:t>
            </w:r>
          </w:p>
        </w:tc>
        <w:tc>
          <w:tcPr>
            <w:tcW w:type="dxa" w:w="2160"/>
          </w:tcPr>
          <w:p>
            <w:r>
              <w:t>12,711</w:t>
            </w:r>
          </w:p>
        </w:tc>
        <w:tc>
          <w:tcPr>
            <w:tcW w:type="dxa" w:w="2160"/>
          </w:tcPr>
          <w:p>
            <w:r>
              <w:t>5,958</w:t>
            </w:r>
          </w:p>
        </w:tc>
      </w:tr>
    </w:tbl>
    <w:p/>
    <w:p>
      <w:r>
        <w:t>Collectively, these states account for ~200,000 missed cases—over half of the national total.</w:t>
      </w:r>
    </w:p>
    <w:p/>
    <w:p>
      <w:pPr>
        <w:pStyle w:val="Heading3"/>
      </w:pPr>
      <w:r>
        <w:t>4.3 Scenario gaps</w:t>
      </w:r>
    </w:p>
    <w:p>
      <w:r>
        <w:t>**Table 3. National additional notifications required (2023 baseline).**</w:t>
      </w:r>
    </w:p>
    <w:p/>
    <w:tbl>
      <w:tblPr>
        <w:tblW w:type="auto" w:w="0"/>
        <w:tblLook w:firstColumn="1" w:firstRow="1" w:lastColumn="0" w:lastRow="0" w:noHBand="0" w:noVBand="1" w:val="04A0"/>
      </w:tblPr>
      <w:tblGrid>
        <w:gridCol w:w="4320"/>
        <w:gridCol w:w="4320"/>
      </w:tblGrid>
      <w:tr>
        <w:tc>
          <w:tcPr>
            <w:tcW w:type="dxa" w:w="4320"/>
          </w:tcPr>
          <w:p>
            <w:r>
              <w:t>Target detection</w:t>
            </w:r>
          </w:p>
        </w:tc>
        <w:tc>
          <w:tcPr>
            <w:tcW w:type="dxa" w:w="4320"/>
          </w:tcPr>
          <w:p>
            <w:r>
              <w:t>Additional notifications</w:t>
            </w:r>
          </w:p>
        </w:tc>
      </w:tr>
      <w:tr>
        <w:tc>
          <w:tcPr>
            <w:tcW w:type="dxa" w:w="4320"/>
          </w:tcPr>
          <w:p>
            <w:r>
              <w:t>80%</w:t>
            </w:r>
          </w:p>
        </w:tc>
        <w:tc>
          <w:tcPr>
            <w:tcW w:type="dxa" w:w="4320"/>
          </w:tcPr>
          <w:p>
            <w:r>
              <w:t>81,682</w:t>
            </w:r>
          </w:p>
        </w:tc>
      </w:tr>
      <w:tr>
        <w:tc>
          <w:tcPr>
            <w:tcW w:type="dxa" w:w="4320"/>
          </w:tcPr>
          <w:p>
            <w:r>
              <w:t>90%</w:t>
            </w:r>
          </w:p>
        </w:tc>
        <w:tc>
          <w:tcPr>
            <w:tcW w:type="dxa" w:w="4320"/>
          </w:tcPr>
          <w:p>
            <w:r>
              <w:t>182,487</w:t>
            </w:r>
          </w:p>
        </w:tc>
      </w:tr>
      <w:tr>
        <w:tc>
          <w:tcPr>
            <w:tcW w:type="dxa" w:w="4320"/>
          </w:tcPr>
          <w:p>
            <w:r>
              <w:t>95%</w:t>
            </w:r>
          </w:p>
        </w:tc>
        <w:tc>
          <w:tcPr>
            <w:tcW w:type="dxa" w:w="4320"/>
          </w:tcPr>
          <w:p>
            <w:r>
              <w:t>260,021</w:t>
            </w:r>
          </w:p>
        </w:tc>
      </w:tr>
    </w:tbl>
    <w:p/>
    <w:p>
      <w:r>
        <w:t>Approximately 73% of the 90%-target shortfall lies in Bihar and Madhya Pradesh.</w:t>
      </w:r>
    </w:p>
    <w:p/>
    <w:p>
      <w:pPr>
        <w:pStyle w:val="Heading3"/>
      </w:pPr>
      <w:r>
        <w:t>4.4 Visual summaries</w:t>
      </w:r>
    </w:p>
    <w:p>
      <w:pPr>
        <w:pStyle w:val="ListBullet"/>
      </w:pPr>
      <w:r>
        <w:t>**National incidence vs. notifications:** Illustrates shrinking gaps and the post-pandemic rebound.</w:t>
      </w:r>
    </w:p>
    <w:p>
      <w:pPr>
        <w:pStyle w:val="ListBullet"/>
      </w:pPr>
      <w:r>
        <w:t>**Top states chart:** Highlights where detection improvements would have the largest impact.</w:t>
      </w:r>
    </w:p>
    <w:p>
      <w:pPr>
        <w:pStyle w:val="ListBullet"/>
      </w:pPr>
      <w:r>
        <w:t>**Detection coverage map:** Shows most western and southern states approaching ≥90% detection, contrasting with the eastern belt.</w:t>
      </w:r>
    </w:p>
    <w:p/>
    <w:p>
      <w:r>
        <w:t>---</w:t>
      </w:r>
    </w:p>
    <w:p/>
    <w:p>
      <w:pPr>
        <w:pStyle w:val="Heading2"/>
      </w:pPr>
      <w:r>
        <w:t>5. Discussion</w:t>
      </w:r>
    </w:p>
    <w:p>
      <w:pPr>
        <w:pStyle w:val="ListNumber"/>
      </w:pPr>
      <w:r>
        <w:t>**Progress with persistent pockets:** National detection has risen steadily, yet Bihar (57%) and Madhya Pradesh (75%) remain well below the WHO 90% benchmark, echoing the WHO call to “find all missing” TB patients [1].</w:t>
      </w:r>
    </w:p>
    <w:p>
      <w:pPr>
        <w:pStyle w:val="ListNumber"/>
      </w:pPr>
      <w:r>
        <w:t>**System metrics as predictors:** Cascade coverage (e.g., DM screening, tobacco linkage) strongly correlates with detection categories, validating India TB Report’s emphasis on differentiated TB care [2,3].</w:t>
      </w:r>
    </w:p>
    <w:p>
      <w:pPr>
        <w:pStyle w:val="ListNumber"/>
      </w:pPr>
      <w:r>
        <w:t>**Socioeconomic risk:** NFHS-5 indicators confirm that undernutrition, anemia, and limited clean energy remain concentrated in the eastern corridor, consistent with literature linking social determinants and TB [6,7].</w:t>
      </w:r>
    </w:p>
    <w:p>
      <w:pPr>
        <w:pStyle w:val="ListNumber"/>
      </w:pPr>
      <w:r>
        <w:t>**Policy imperatives:**</w:t>
      </w:r>
    </w:p>
    <w:p>
      <w:pPr>
        <w:pStyle w:val="ListBullet"/>
      </w:pPr>
      <w:r>
        <w:t>**Bihar:** Deploy Ni-kshay Mitra-led active case finding, expand comorbidity screening, and incentivise private notifications to close the 102k-case gap.</w:t>
      </w:r>
    </w:p>
    <w:p>
      <w:pPr>
        <w:pStyle w:val="ListBullet"/>
      </w:pPr>
      <w:r>
        <w:t>**Madhya Pradesh:** Invest in molecular diagnostics and PPSA coverage to capture the 32k additional cases needed.</w:t>
      </w:r>
    </w:p>
    <w:p>
      <w:pPr>
        <w:pStyle w:val="ListBullet"/>
      </w:pPr>
      <w:r>
        <w:t>**Assam/Jharkhand:** Smaller gaps (&lt;8k each) can be closed via comorbidity linkage and targeted community outreach.</w:t>
      </w:r>
    </w:p>
    <w:p>
      <w:pPr>
        <w:pStyle w:val="ListBullet"/>
      </w:pPr>
      <w:r>
        <w:t>**High performers (e.g., Gujarat, Tamil Nadu):** Focus on treatment success and drug-resistant TB management.</w:t>
      </w:r>
    </w:p>
    <w:p/>
    <w:p>
      <w:r>
        <w:t>---</w:t>
      </w:r>
    </w:p>
    <w:p/>
    <w:p>
      <w:pPr>
        <w:pStyle w:val="Heading2"/>
      </w:pPr>
      <w:r>
        <w:t>6. Strengths and limitations</w:t>
      </w:r>
    </w:p>
    <w:p>
      <w:r>
        <w:t xml:space="preserve">**Strengths:**  </w:t>
      </w:r>
    </w:p>
    <w:p>
      <w:pPr>
        <w:pStyle w:val="ListBullet"/>
      </w:pPr>
      <w:r>
        <w:t>Transparent, script-based workflow tied directly to WHO and Ni-kshay datasets.</w:t>
      </w:r>
    </w:p>
    <w:p>
      <w:pPr>
        <w:pStyle w:val="ListBullet"/>
      </w:pPr>
      <w:r>
        <w:t>Integration of cascade and NFHS-5 data allows interpretation of system/risk drivers.</w:t>
      </w:r>
    </w:p>
    <w:p>
      <w:pPr>
        <w:pStyle w:val="ListBullet"/>
      </w:pPr>
      <w:r>
        <w:t>Scenario analysis offers actionable targets for state programmes.</w:t>
      </w:r>
    </w:p>
    <w:p/>
    <w:p>
      <w:r>
        <w:t xml:space="preserve">**Limitations:**  </w:t>
      </w:r>
    </w:p>
    <w:p>
      <w:pPr>
        <w:pStyle w:val="ListBullet"/>
      </w:pPr>
      <w:r>
        <w:t>State notification shares rely on available Ni-kshay exports; if the official India TB Report releases updated tables, state contributions may shift.</w:t>
      </w:r>
    </w:p>
    <w:p>
      <w:pPr>
        <w:pStyle w:val="ListBullet"/>
      </w:pPr>
      <w:r>
        <w:t>NFHS-5 captures 2019–2021 risk; improvements since then are not reflected.</w:t>
      </w:r>
    </w:p>
    <w:p>
      <w:pPr>
        <w:pStyle w:val="ListBullet"/>
      </w:pPr>
      <w:r>
        <w:t>Deterministic estimates lack uncertainty intervals; a Bayesian extension is planned once state incidence priors are available.</w:t>
      </w:r>
    </w:p>
    <w:p>
      <w:pPr>
        <w:pStyle w:val="ListBullet"/>
      </w:pPr>
      <w:r>
        <w:t>Detection map excludes Ladakh and the merged Dadra &amp; Nagar Haveli–Daman &amp; Diu due to geometry constraints, though data are included in tables.</w:t>
      </w:r>
    </w:p>
    <w:p/>
    <w:p>
      <w:r>
        <w:t>---</w:t>
      </w:r>
    </w:p>
    <w:p/>
    <w:p>
      <w:pPr>
        <w:pStyle w:val="Heading2"/>
      </w:pPr>
      <w:r>
        <w:t>7. Conclusions</w:t>
      </w:r>
    </w:p>
    <w:p>
      <w:r>
        <w:t>India’s detection trajectory is positive, but sustained progress hinges on closing the gaps in Bihar, Madhya Pradesh, and adjacent eastern states. The automation pipeline provides a reproducible blueprint for monitoring missed cases, guiding resource allocation, and supporting WHO’s emphasis on universal access to quality TB care.</w:t>
      </w:r>
    </w:p>
    <w:p/>
    <w:p>
      <w:r>
        <w:t>---</w:t>
      </w:r>
    </w:p>
    <w:p/>
    <w:p>
      <w:pPr>
        <w:pStyle w:val="Heading2"/>
      </w:pPr>
      <w:r>
        <w:t>References</w:t>
      </w:r>
    </w:p>
    <w:p>
      <w:pPr>
        <w:pStyle w:val="ListNumber"/>
      </w:pPr>
      <w:r>
        <w:t>World Health Organization. *Global Tuberculosis Report 2024.* Geneva: WHO; 2024.</w:t>
      </w:r>
    </w:p>
    <w:p>
      <w:pPr>
        <w:pStyle w:val="ListNumber"/>
      </w:pPr>
      <w:r>
        <w:t>Central TB Division, Ministry of Health &amp; Family Welfare. *India TB Report 2024.* New Delhi: CTD; 2024.</w:t>
      </w:r>
    </w:p>
    <w:p>
      <w:pPr>
        <w:pStyle w:val="ListNumber"/>
      </w:pPr>
      <w:r>
        <w:t>Ni-kshay. *Private Sector Engagement dashboards.* National TB Elimination Programme; 2024.</w:t>
      </w:r>
    </w:p>
    <w:p>
      <w:pPr>
        <w:pStyle w:val="ListNumber"/>
      </w:pPr>
      <w:r>
        <w:t>WHO. *National Framework for Gender-Responsive TB Care in India.* Geneva: WHO; 2023.</w:t>
      </w:r>
    </w:p>
    <w:p>
      <w:pPr>
        <w:pStyle w:val="ListNumber"/>
      </w:pPr>
      <w:r>
        <w:t>Rajya Sabha Secretariat. *Ni-kshay State TB Notifications, Sessions 260 &amp; 266.* Parliament of India; 2024.</w:t>
      </w:r>
    </w:p>
    <w:p>
      <w:pPr>
        <w:pStyle w:val="ListNumber"/>
      </w:pPr>
      <w:r>
        <w:t>International Institute for Population Sciences (IIPS) &amp; ICF. *National Family Health Survey (NFHS-5), 2019–21: India.* Mumbai: IIPS; 2021.</w:t>
      </w:r>
    </w:p>
    <w:p>
      <w:pPr>
        <w:pStyle w:val="ListNumber"/>
      </w:pPr>
      <w:r>
        <w:t>Bhargava A, Jain Y. Social determinants of tuberculosis. *Indian J Med Res.* 2020;151(5):417–419.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