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Internal Peer Review B</w:t>
      </w:r>
    </w:p>
    <w:p>
      <w:r>
        <w:t>Statistical robustness: bootstrap CIs and rank-stability metrics materially improve confidence.</w:t>
      </w:r>
    </w:p>
    <w:p>
      <w:r>
        <w:t>Reproducibility: deterministic pipeline and staged outputs adequate for computational reproducibility.</w:t>
      </w:r>
    </w:p>
    <w:p>
      <w:r>
        <w:t>Final recommendation: submit after final author metadata and funding/declaration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