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Final Audit Log</w:t>
      </w:r>
    </w:p>
    <w:p>
      <w:r>
        <w:t>- Checked figure availability and embedding order (Fig 1-9).</w:t>
      </w:r>
    </w:p>
    <w:p>
      <w:r>
        <w:t>- Checked table citations and insertion order (Table 1-7).</w:t>
      </w:r>
    </w:p>
    <w:p>
      <w:r>
        <w:t>- Validated Vancouver-style numbered references and in-text indexing.</w:t>
      </w:r>
    </w:p>
    <w:p>
      <w:r>
        <w:t>- Included author identity, contact, affiliation, and ORCID.</w:t>
      </w:r>
    </w:p>
    <w:p>
      <w:r>
        <w:t>- Generated supplementary appendix with full benchmark/hub/perturbation tables.</w:t>
      </w:r>
    </w:p>
    <w:p>
      <w:r>
        <w:t>- Generated two independent internal peer-review documents and incorporated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