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Declarations</w:t>
      </w:r>
    </w:p>
    <w:p>
      <w:r>
        <w:t>Competing interests: The author declares no competing interests.</w:t>
      </w:r>
    </w:p>
    <w:p>
      <w:r>
        <w:t>Funding: This research did not receive any specific grant from funding agencies in the public, commercial, or not-for-profit sectors.</w:t>
      </w:r>
    </w:p>
    <w:p>
      <w:r>
        <w:t>Ethics: This study used only public de-identified datasets. No new institutional ethics approval or participant consent was required.</w:t>
      </w:r>
    </w:p>
    <w:p>
      <w:r>
        <w:t>Data availability: Public source data are available from GDC, GEO, ENA/SRA, cBioPortal, and PDC under their respective terms. Code supporting the analytical workflow and derived non-raw outputs are publicly available through the public code repository and associated public data-release archives.</w:t>
      </w:r>
    </w:p>
    <w:p>
      <w:r>
        <w:t>Generative AI disclosure: AI-assisted tools were used for drafting support and language refinement. The author reviewed, edited, and takes full responsibility for the manuscript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