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Uncertainty-Aware Multi-Omics Integration Reveals Stable Cross-Layer Hubs and Perturbation-Sensitive Network Architecture in TCGA Ovarian Cancer</w:t>
      </w:r>
    </w:p>
    <w:bookmarkEnd w:id="9"/>
    <w:bookmarkStart w:id="10" w:name="short-title"/>
    <w:p>
      <w:pPr>
        <w:pStyle w:val="Heading2"/>
      </w:pPr>
      <w:r>
        <w:t xml:space="preserve">Short Title</w:t>
      </w:r>
    </w:p>
    <w:p>
      <w:pPr>
        <w:pStyle w:val="FirstParagraph"/>
      </w:pPr>
      <w:r>
        <w:t xml:space="preserve">TCGA-OV Multi-Omics Network Architecture</w:t>
      </w:r>
    </w:p>
    <w:bookmarkEnd w:id="10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</w:p>
    <w:p>
      <w:pPr>
        <w:pStyle w:val="BodyText"/>
      </w:pP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8941087719</w:t>
      </w:r>
      <w:r>
        <w:br/>
      </w:r>
      <w:r>
        <w:t xml:space="preserve">ORCID: 0000-0002-4771-8285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hssling@yahoo.com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2026-04-20T05:31:01Z</dcterms:created>
  <dcterms:modified xsi:type="dcterms:W3CDTF">2026-04-20T05:31:01Z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