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Final Audit Log</w:t>
      </w:r>
    </w:p>
    <w:p>
      <w:r>
        <w:t>- Checked figure availability and embedding order (Fig 1-14).</w:t>
      </w:r>
    </w:p>
    <w:p>
      <w:r>
        <w:t>- Checked table citations and insertion order (Table 1-13 across main/supplementary).</w:t>
      </w:r>
    </w:p>
    <w:p>
      <w:r>
        <w:t>- Validated Vancouver-style numbered references and in-text indexing.</w:t>
      </w:r>
    </w:p>
    <w:p>
      <w:r>
        <w:t>- Included author identity, contact, affiliation, and ORCID.</w:t>
      </w:r>
    </w:p>
    <w:p>
      <w:r>
        <w:t>- Generated supplementary appendix with full benchmark/hub/perturbation tables.</w:t>
      </w:r>
    </w:p>
    <w:p>
      <w:r>
        <w:t>- Added advanced analytics assets: PCA, advanced ML, ablation, DAG pathway summary, and sensitivity curves.</w:t>
      </w:r>
    </w:p>
    <w:p>
      <w:r>
        <w:t>- Generated two independent internal peer-review documents and incorporated improvements.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