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We submit our manuscript,</w:t>
      </w:r>
      <w:r>
        <w:t xml:space="preserve"> </w:t>
      </w:r>
      <w:r>
        <w:t xml:space="preserve">“Uncertainty-Aware Multi-Omics Integration Reveals Stable Cross-Layer Hubs and Perturbation-Sensitive Network Architecture in TCGA Ovarian Cancer,”</w:t>
      </w:r>
      <w:r>
        <w:t xml:space="preserve"> </w:t>
      </w:r>
      <w:r>
        <w:t xml:space="preserve">for consideration as an Article in the British Journal of Cancer.</w:t>
      </w:r>
    </w:p>
    <w:p>
      <w:pPr>
        <w:pStyle w:val="BodyText"/>
      </w:pPr>
      <w:r>
        <w:t xml:space="preserve">This study uses public TCGA ovarian cancer data to identify which multi-omics findings remain robust after uncertainty calibration, bootstrap stability analysis, perturbation testing, pathway-oriented aggregation, and permutation-calibrated predictive benchmarking. The strongest results are not weakly supported classifier claims, but a stable set of cross-layer latent hubs with coherent transcript-protein architecture and reproducible perturbation response. We believe this emphasis is well aligned with the British Journal of Cancer readership, which values mechanistic and translational cancer biology supported by rigorous analytical reporting.</w:t>
      </w:r>
    </w:p>
    <w:p>
      <w:pPr>
        <w:pStyle w:val="BodyText"/>
      </w:pPr>
      <w:r>
        <w:t xml:space="preserve">Key findings include:</w:t>
      </w:r>
      <w:r>
        <w:t xml:space="preserve"> </w:t>
      </w:r>
      <w:r>
        <w:t xml:space="preserve">- Stable top hubs centered on LF8, LF5, LF6, and LF7 with near-unity bootstrap top-k persistence.</w:t>
      </w:r>
      <w:r>
        <w:t xml:space="preserve"> </w:t>
      </w:r>
      <w:r>
        <w:t xml:space="preserve">- Strong perturbation sensitivity indicating reproducible high-impact control points.</w:t>
      </w:r>
      <w:r>
        <w:t xml:space="preserve"> </w:t>
      </w:r>
      <w:r>
        <w:t xml:space="preserve">- A coherent RNA-&gt;Latent-&gt;Protein pathway structure.</w:t>
      </w:r>
      <w:r>
        <w:t xml:space="preserve"> </w:t>
      </w:r>
      <w:r>
        <w:t xml:space="preserve">- Conservative predictive calibration showing modest discrimination and preventing overstatement of clinical readiness.</w:t>
      </w:r>
    </w:p>
    <w:p>
      <w:pPr>
        <w:pStyle w:val="BodyText"/>
      </w:pPr>
      <w:r>
        <w:t xml:space="preserve">The work is original, has not been published previously, and is not under consideration elsewhere. No competing interests are declared. The corresponding author is:</w:t>
      </w:r>
    </w:p>
    <w:p>
      <w:pPr>
        <w:pStyle w:val="BodyText"/>
      </w:pPr>
      <w:r>
        <w:t xml:space="preserve">Dr Siddalingaiah H S</w:t>
      </w:r>
      <w:r>
        <w:br/>
      </w:r>
      <w:r>
        <w:t xml:space="preserve">Professor, Community Medicine</w:t>
      </w:r>
      <w:r>
        <w:br/>
      </w:r>
      <w:r>
        <w:t xml:space="preserve">Shridevi Institute of Medical Sciences and Research Hospital, Tumkur</w:t>
      </w:r>
      <w:r>
        <w:br/>
      </w:r>
      <w:r>
        <w:t xml:space="preserve">Email: hssling@yahoo.com</w:t>
      </w:r>
      <w:r>
        <w:br/>
      </w:r>
      <w:r>
        <w:t xml:space="preserve">Phone: 8941087719</w:t>
      </w:r>
      <w:r>
        <w:br/>
      </w:r>
      <w:r>
        <w:t xml:space="preserve">ORCID: 0000-0002-4771-8285</w:t>
      </w:r>
    </w:p>
    <w:p>
      <w:pPr>
        <w:pStyle w:val="BodyText"/>
      </w:pPr>
      <w:r>
        <w:t xml:space="preserve">Sincerely,</w:t>
      </w:r>
    </w:p>
    <w:p>
      <w:pPr>
        <w:pStyle w:val="BodyText"/>
      </w:pPr>
      <w:r>
        <w:t xml:space="preserve">Dr Siddalingaiah H 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2026-04-20T05:21:26Z</dcterms:created>
  <dcterms:modified xsi:type="dcterms:W3CDTF">2026-04-20T05:21:26Z</dcterms:modified>
</cp:coreProperties>
</file>

<file path=docProps/custom.xml><?xml version="1.0" encoding="utf-8"?>
<Properties xmlns="http://schemas.openxmlformats.org/officeDocument/2006/custom-properties" xmlns:vt="http://schemas.openxmlformats.org/officeDocument/2006/docPropsVTypes"/>
</file>