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Cover Letter</w:t>
      </w:r>
    </w:p>
    <w:p>
      <w:r>
        <w:t>Date: 2026-04-20</w:t>
      </w:r>
    </w:p>
    <w:p>
      <w:r>
        <w:t>To,</w:t>
        <w:br/>
        <w:t>The Editor-in-Chief</w:t>
        <w:br/>
        <w:t>International Journal of Clinical Oncology</w:t>
      </w:r>
    </w:p>
    <w:p>
      <w:r>
        <w:t>Subject: Submission of manuscript "Uncertainty-Aware Multi-Omics Integration and Network Perturbation Analysis in TCGA Ovarian Cancer"</w:t>
      </w:r>
    </w:p>
    <w:p>
      <w:r>
        <w:t>Dear Editor,</w:t>
        <w:br/>
        <w:br/>
        <w:t>Please consider our manuscript for publication in the International Journal of Clinical Oncology. We present a reproducible multi-omics TCGA-OV framework integrating mutation, copy number, methylation, RNA, and optional protein layers with bootstrap-calibrated predictive, network, and perturbation inference.</w:t>
      </w:r>
    </w:p>
    <w:p>
      <w:r>
        <w:t>Key contributions include: (i) uncertainty-calibrated AUC/C-index/Cox C-index benchmarking; (ii) protein-matched fairness analyses; (iii) bootstrap hub stability; and (iv) perturbation effect-size and rank-stability intervals.</w:t>
      </w:r>
    </w:p>
    <w:p>
      <w:r>
        <w:t>This submission is original, not under consideration elsewhere, and all required declarations are included.</w:t>
      </w:r>
    </w:p>
    <w:p>
      <w:r>
        <w:t>Sincerely,</w:t>
        <w:br/>
        <w:br/>
        <w:t>Dr Siddalingaiah H S</w:t>
        <w:br/>
        <w:t>Professor, Community Medicine</w:t>
        <w:br/>
        <w:t>Shridevi Institute of Medical Sciences and Research Hospital, Tumkur</w:t>
        <w:br/>
        <w:t>Email: hssling@yahoo.com | Phone: 8941087719</w:t>
        <w:br/>
        <w:t>ORCID: 0000-0002-4771-8285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