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Internal Peer Review A</w:t>
      </w:r>
    </w:p>
    <w:p>
      <w:r>
        <w:t>Scope/Novelty: Acceptable translational scope with reproducible workflow and uncertainty quantification.</w:t>
      </w:r>
    </w:p>
    <w:p>
      <w:r>
        <w:t>Major concerns addressed: explicit fairness benchmarking, Cox fallback robustness, and hub stability CI.</w:t>
      </w:r>
    </w:p>
    <w:p>
      <w:r>
        <w:t>Minor recommendations: strengthen discussion on external validation requirement and clinical utility framing.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