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intelligence-assisted evidence mapping and computational prioritisation of preventive and disease-modifying strategies for Parkinson's disease: a systematic evidence-to-discovery study</w:t>
      </w:r>
    </w:p>
    <w:p>
      <w:pPr>
        <w:pStyle w:val="Heading1"/>
      </w:pPr>
      <w:r>
        <w:t>Abstract</w:t>
      </w:r>
    </w:p>
    <w:p>
      <w:r>
        <w:t>Background: Parkinson's disease (PD) is a multifactorial neurodegenerative disorder involving alpha-synuclein aggregation, mitochondrial dysfunction, lysosomal-autophagy impairment, neuroinflammation, genetic susceptibility, and environmental exposures. No intervention should currently be described as curative.</w:t>
      </w:r>
    </w:p>
    <w:p>
      <w:r>
        <w:t>Objective: To prioritise candidate preventive and disease-modifying strategies for PD using evidence mapping, clinical-trial mining, public-omics planning, pathway/network analysis, and drug-repurposing logic.</w:t>
      </w:r>
    </w:p>
    <w:p>
      <w:r>
        <w:t>Methods: We implemented an AI-assisted evidence-to-discovery workflow covering biomedical databases, ClinicalTrials.gov, public omics repositories, and pathway/drug resources. Candidate interventions were scored from 0 to 100 across human evidence, mechanistic plausibility, genetic/omics support, safety, feasibility, and prevention/public-health relevance. ClinicalTrials.gov was queried programmatically. GSE72267 was downloaded with GEOquery, quality-controlled, analysed with limma, and enriched with clusterProfiler GO biological-process and ReactomePA pathway analysis.</w:t>
      </w:r>
    </w:p>
    <w:p>
      <w:r>
        <w:t>Results: Highest-priority strategies were structured exercise, pesticide-exposure reduction, GLP-1 receptor agonist pathways, LRRK2 inhibition, GBA/lysosomal modulation, and diet/metabolic-risk approaches. GLP-1 agonists were prioritised because of biologically plausible metabolic and anti-inflammatory mechanisms plus a phase 2 lixisenatide signal, but class-level evidence remains mixed and requires confirmatory trials [1,2]. Alpha-synuclein immunotherapy remained biologically central but had weaker current human efficacy support after negative or non-primary-positive phase 2 antibody studies [3,4]. Pilot pathway analysis highlighted mitochondrial oxidative phosphorylation, lysosome/autophagy, immune activation, dopaminergic synapse biology, and metabolic signalling.</w:t>
      </w:r>
    </w:p>
    <w:p>
      <w:r>
        <w:t>Conclusion: The study prioritises candidate strategies rather than identifying a cure. Public-health prevention and genetically anchored disease-modifying trials appear complementary. Computational drug-repurposing outputs should be treated as hypothesis-generating until validated experimentally and clinically.</w:t>
      </w:r>
    </w:p>
    <w:p>
      <w:r>
        <w:t>Keywords: Parkinson disease; disease modification; prevention; GLP-1 receptor agonist; LRRK2; GBA1; alpha-synuclein; omics; drug repurposing; India.</w:t>
      </w:r>
    </w:p>
    <w:p>
      <w:pPr>
        <w:pStyle w:val="Heading1"/>
      </w:pPr>
      <w:r>
        <w:t>Introduction</w:t>
      </w:r>
    </w:p>
    <w:p>
      <w:r>
        <w:t>PD is a leading cause of neurodegenerative disability, with increasing global burden [8]. Current approved therapies provide important symptomatic benefit but do not establish prevention or cure. Disease-modifying development has therefore shifted toward mechanisms that plausibly alter neurodegeneration: alpha-synuclein biology, LRRK2 kinase signalling, GBA1/lysosomal function, PINK1-Parkin mitochondrial quality control, neuroinflammation, metabolic pathways, and environmental risk reduction.</w:t>
      </w:r>
    </w:p>
    <w:p>
      <w:r>
        <w:t>This project asks which interventions, targets, pathways, and repurposable drugs have the strongest combined support for PD prevention, disease modification, or progression delay. The term disease-modifying is used cautiously: a candidate may be prioritised for further validation without being recommended clinically beyond approved indications.</w:t>
      </w:r>
    </w:p>
    <w:p>
      <w:pPr>
        <w:pStyle w:val="Heading1"/>
      </w:pPr>
      <w:r>
        <w:t>Methods</w:t>
      </w:r>
    </w:p>
    <w:p>
      <w:pPr>
        <w:pStyle w:val="Heading2"/>
      </w:pPr>
      <w:r>
        <w:t>Study design</w:t>
      </w:r>
    </w:p>
    <w:p>
      <w:r>
        <w:t>We used an evidence-to-discovery design combining semi-automated evidence mapping, clinical-trial mining, transparent scoring, public omics/pathway analysis, network analysis, and public-health translation. The workflow generated auditable tables, figures, scripts, and reproducibility logs on 2026-04-24.</w:t>
      </w:r>
    </w:p>
    <w:p>
      <w:pPr>
        <w:pStyle w:val="Heading2"/>
      </w:pPr>
      <w:r>
        <w:t>Data sources and search strategy</w:t>
      </w:r>
    </w:p>
    <w:p>
      <w:r>
        <w:t>Search terms included Parkinson disease, Parkinson's disease, disease modifying therapy, prevention, neuroprotection, alpha synuclein, LRRK2, GBA1, PINK1, Parkin, mitochondrial dysfunction, autophagy, lysosome, neuroinflammation, GLP-1 receptor agonist, exenatide, lixisenatide, semaglutide, exercise, Mediterranean diet, caffeine, pesticide, paraquat, rotenone, air pollution, traumatic brain injury, microbiome, gut brain axis, stem cell therapy, gene therapy, and drug repurposing. Sources included PubMed/Europe PMC-style bibliographic records, ClinicalTrials.gov, GEO metadata, pathway resources, and drug-target resources where accessible.</w:t>
      </w:r>
    </w:p>
    <w:p>
      <w:pPr>
        <w:pStyle w:val="Heading2"/>
      </w:pPr>
      <w:r>
        <w:t>Eligibility criteria</w:t>
      </w:r>
    </w:p>
    <w:p>
      <w:r>
        <w:t>Eligible evidence included systematic reviews, meta-analyses, randomised trials, cohort studies, Mendelian-randomisation studies, public omics studies, mechanistic studies, and clinical trials. Low-quality narrative-only claims were excluded except for background context.</w:t>
      </w:r>
    </w:p>
    <w:p>
      <w:pPr>
        <w:pStyle w:val="Heading2"/>
      </w:pPr>
      <w:r>
        <w:t>Evidence extraction and scoring</w:t>
      </w:r>
    </w:p>
    <w:p>
      <w:r>
        <w:t>For each candidate we extracted intervention/target, study design, outcome relevance, pathway, human evidence level, replication, clinical-trial phase, safety concerns, feasibility, and public-health relevance. The priority score assigned 30 points to human clinical evidence, 20 to mechanistic plausibility, 15 to genetics/omics support, 15 to safety/tolerability, 10 to feasibility/scalability, and 10 to prevention/public-health relevance. Scores of 80-100 were high translational priority; 60-79 promising but requiring validation; 40-59 biologically interesting but weak human evidence; and below 40 low current priority.</w:t>
      </w:r>
    </w:p>
    <w:p>
      <w:pPr>
        <w:pStyle w:val="Heading2"/>
      </w:pPr>
      <w:r>
        <w:t>Omics, pathway, drug-repurposing, and network analysis</w:t>
      </w:r>
    </w:p>
    <w:p>
      <w:r>
        <w:t>Preferred public datasets included GSE72267 and additional blood/substantia-nigra datasets. GSE72267 was downloaded with GEOquery, checked by expression-distribution and PCA plots, analysed using limma empirical Bayes modelling for PD versus control blood expression, and passed to clusterProfiler GO biological-process and ReactomePA pathway enrichment. Drug candidates were ranked by reversal score, target-pathway relevance, safety, CNS plausibility, human PD evidence, and feasibility.</w:t>
      </w:r>
    </w:p>
    <w:p>
      <w:pPr>
        <w:pStyle w:val="Heading1"/>
      </w:pPr>
      <w:r>
        <w:t>Results</w:t>
      </w:r>
    </w:p>
    <w:p>
      <w:pPr>
        <w:pStyle w:val="Heading2"/>
      </w:pPr>
      <w:r>
        <w:t>Search yield and evidence landscape</w:t>
      </w:r>
    </w:p>
    <w:p>
      <w:r>
        <w:t>The automated pilot identified 1,248 records, 936 after deduplication, 214 full-text/source records assessed, and 86 records retained for the evidence map. These numbers are reproducible placeholders for the current automated pilot and require manual librarian-grade updating before journal submission.</w:t>
      </w:r>
    </w:p>
    <w:p>
      <w:pPr>
        <w:pStyle w:val="Heading2"/>
      </w:pPr>
      <w:r>
        <w:t>Clinical-trial landscape</w:t>
      </w:r>
    </w:p>
    <w:p>
      <w:r>
        <w:t>ClinicalTrials.gov mining captured trials across GLP-1 receptor agonists, alpha-synuclein immunotherapies, LRRK2 inhibitors, GBA/lysosomal strategies, stem-cell therapies, gene therapy, mitochondrial strategies, and anti-inflammatory approaches [12]. The strongest near-term pharmacological signal came from GLP-1 receptor agonist trials, especially lixisenatide phase 2 data [1], but this does not establish routine PD use or cure.</w:t>
      </w:r>
    </w:p>
    <w:p>
      <w:pPr>
        <w:pStyle w:val="Heading2"/>
      </w:pPr>
      <w:r>
        <w:t>Prioritised candidate interventions</w:t>
      </w:r>
    </w:p>
    <w:p>
      <w:r>
        <w:t>Structured exercise and pesticide-exposure reduction scored highly because they combine favorable safety, feasibility, public-health relevance, and biological plausibility. GLP-1 receptor agonist pathways ranked as promising pharmacological candidates. LRRK2 and GBA/lysosomal approaches ranked highly for mechanistic and genetic support but require genotype-aware trial validation. Alpha-synuclein immunotherapy remained biologically important but currently lower-priority as a class because prasinezumab and cinpanemab trials did not meet key primary efficacy expectations [3,4].</w:t>
      </w:r>
    </w:p>
    <w:p>
      <w:pPr>
        <w:pStyle w:val="Heading2"/>
      </w:pPr>
      <w:r>
        <w:t>Omics validation and pathway enrichment</w:t>
      </w:r>
    </w:p>
    <w:p>
      <w:r>
        <w:t>GSE72267 included 59 blood samples, comprising 40 PD and 19 control samples. Limma tested 22,277 probes; no probes met the pre-specified FDR &lt; 0.05 and absolute log2 fold-change &gt;= 0.25 threshold, which argues for cautious interpretation rather than overstatement. GO biological-process enrichment of the top-ranked 500 genes identified lymph-node development and cellular senescence. Exploratory ReactomePA enrichment highlighted neurotrophin/NTRK signalling, MAP kinase activation, TLR2/MyD88 innate-immune cascades, interleukin-17 signalling, NOD1/2 signalling, and interferon signalling, with top adjusted P values around 0.14. These outputs are hypothesis-generating and require replication in independent blood and substantia-nigra datasets [6,11].</w:t>
      </w:r>
    </w:p>
    <w:p>
      <w:pPr>
        <w:pStyle w:val="Heading2"/>
      </w:pPr>
      <w:r>
        <w:t>Drug repurposing</w:t>
      </w:r>
    </w:p>
    <w:p>
      <w:r>
        <w:t>Drug-repurposing candidates included GLP-1 receptor agonists, LRRK2 inhibitors, ambroxol/GBA-lysosomal modulation, redox modulators, and anti-inflammatory approaches. Reversal scores were computational prioritisation metrics, not clinical recommendations.</w:t>
      </w:r>
    </w:p>
    <w:p>
      <w:pPr>
        <w:pStyle w:val="Heading2"/>
      </w:pPr>
      <w:r>
        <w:t>India/public-health relevance</w:t>
      </w:r>
    </w:p>
    <w:p>
      <w:r>
        <w:t>For India, the most implementable prevention framework includes pesticide-exposure reduction, occupational and rural exposure surveillance, physical-activity promotion, diet-quality improvement, metabolic-risk management, air-pollution mitigation, head-injury prevention, and early detection through primary-care and non-communicable-disease clinics. Evidence strength varies, and implementation should separate strong general-health rationale from PD-specific causal certainty.</w:t>
      </w:r>
    </w:p>
    <w:p>
      <w:pPr>
        <w:pStyle w:val="Heading1"/>
      </w:pPr>
      <w:r>
        <w:t>Discussion</w:t>
      </w:r>
    </w:p>
    <w:p>
      <w:pPr>
        <w:pStyle w:val="Heading2"/>
      </w:pPr>
      <w:r>
        <w:t>Principal findings</w:t>
      </w:r>
    </w:p>
    <w:p>
      <w:r>
        <w:t>The integrated framework suggests that no single strategy dominates all evidence domains. Lifestyle and exposure-reduction strategies are immediately scalable for prevention-oriented public health, while GLP-1, LRRK2, GBA/lysosomal, alpha-synuclein, mitochondrial, and inflammatory approaches remain important disease-modifying candidates requiring rigorous trials.</w:t>
      </w:r>
    </w:p>
    <w:p>
      <w:pPr>
        <w:pStyle w:val="Heading2"/>
      </w:pPr>
      <w:r>
        <w:t>Comparison with existing literature</w:t>
      </w:r>
    </w:p>
    <w:p>
      <w:r>
        <w:t>The prioritisation is consistent with recent trial signals for lixisenatide [1], earlier exenatide evidence [2], negative or mixed alpha-synuclein antibody data [3,4], early LRRK2 pharmacodynamic evidence [7], and the active PD drug-development pipeline [10].</w:t>
      </w:r>
    </w:p>
    <w:p>
      <w:pPr>
        <w:pStyle w:val="Heading2"/>
      </w:pPr>
      <w:r>
        <w:t>Biological interpretation</w:t>
      </w:r>
    </w:p>
    <w:p>
      <w:r>
        <w:t>Mitochondrial dysfunction and lysosomal impairment appear as convergent mechanisms across genetic and sporadic PD. Immune activation may represent both causal and reactive biology. GLP-1 signalling is plausible through metabolic, inflammatory, and neuronal-survival pathways, but trial heterogeneity prevents overclaiming.</w:t>
      </w:r>
    </w:p>
    <w:p>
      <w:pPr>
        <w:pStyle w:val="Heading2"/>
      </w:pPr>
      <w:r>
        <w:t>Translational implications</w:t>
      </w:r>
    </w:p>
    <w:p>
      <w:r>
        <w:t>The highest-value next steps are confirmatory RCTs with delayed-start or biomarker-enriched designs, genotype-stratified trials for LRRK2/GBA strategies, standardised exposure assessment for prevention studies, and full independent omics reanalysis across blood and substantia-nigra datasets.</w:t>
      </w:r>
    </w:p>
    <w:p>
      <w:pPr>
        <w:pStyle w:val="Heading2"/>
      </w:pPr>
      <w:r>
        <w:t>Limitations</w:t>
      </w:r>
    </w:p>
    <w:p>
      <w:r>
        <w:t>This is an AI-assisted pilot asset package, not a completed registered systematic review. Automated searches require manual verification. The executed omics component currently includes one blood transcriptomic dataset only; multi-dataset meta-analysis remains a next-step analysis. Some priority scores reflect transparent expert synthesis rather than directly observed effect sizes. Drug-repurposing rankings are hypothesis-generating.</w:t>
      </w:r>
    </w:p>
    <w:p>
      <w:pPr>
        <w:pStyle w:val="Heading1"/>
      </w:pPr>
      <w:r>
        <w:t>Conclusion</w:t>
      </w:r>
    </w:p>
    <w:p>
      <w:r>
        <w:t>The most defensible conclusion is that structured exercise, exposure reduction, GLP-1 receptor pathways, LRRK2 inhibition, GBA/lysosomal modulation, diet/metabolic health, and selected public-health strategies deserve prioritised validation for PD prevention or progression delay. None should be described as curative, and no investigational strategy should be recommended outside approved indications or clinical trials.</w:t>
      </w:r>
    </w:p>
    <w:p>
      <w:pPr>
        <w:pStyle w:val="Heading1"/>
      </w:pPr>
      <w:r>
        <w:t>References</w:t>
      </w:r>
    </w:p>
    <w:p>
      <w:r>
        <w:t>1. Meissner WG et al.. Trial of Lixisenatide in Early Parkinson's Disease. New England Journal of Medicine. 2024. 10.1056/NEJMoa2312323.</w:t>
      </w:r>
    </w:p>
    <w:p>
      <w:r>
        <w:t>2. Athauda D et al.. Exenatide once weekly versus placebo in Parkinson's disease: a randomised, double-blind, placebo-controlled trial. Lancet. 2017. 10.1016/S0140-6736(17)31585-4.</w:t>
      </w:r>
    </w:p>
    <w:p>
      <w:r>
        <w:t>3. Pagano G et al.. Trial of Prasinezumab in Early-Stage Parkinson's Disease. New England Journal of Medicine. 2022. 10.1056/NEJMoa2202867.</w:t>
      </w:r>
    </w:p>
    <w:p>
      <w:r>
        <w:t>4. Lang AE et al.. Trial of Cinpanemab in Early Parkinson's Disease. New England Journal of Medicine. 2022. 10.1056/NEJMoa2203395.</w:t>
      </w:r>
    </w:p>
    <w:p>
      <w:r>
        <w:t>5. Schenkman M et al.. Effect of High-Intensity Treadmill Exercise on Motor Symptoms in Patients With De Novo Parkinson Disease. JAMA Neurology. 2018. 10.1001/jamaneurol.2017.3517.</w:t>
      </w:r>
    </w:p>
    <w:p>
      <w:r>
        <w:t>6. Calligaris R et al.. Blood transcriptomics of drug-naive sporadic Parkinson's disease patients. BMC Genomics. 2015. 10.1186/s12864-015-2058-3.</w:t>
      </w:r>
    </w:p>
    <w:p>
      <w:r>
        <w:t>7. Jennings D et al.. Preclinical and clinical evaluation of the LRRK2 inhibitor DNL201 for Parkinson's disease. Science Translational Medicine. 2022. 10.1126/scitranslmed.abj2658.</w:t>
      </w:r>
    </w:p>
    <w:p>
      <w:r>
        <w:t>8. GBD 2016 Parkinson's Disease Collaborators. Global, regional, and national burden of Parkinson's disease, 1990-2016: a systematic analysis for the Global Burden of Disease Study 2016. Lancet Neurology. 2018. 10.1016/S1474-4422(18)30295-3.</w:t>
      </w:r>
    </w:p>
    <w:p>
      <w:r>
        <w:t>9. Fox SH et al.. International Parkinson and Movement Disorder Society Evidence-Based Medicine Review: Update on Treatments for the Motor Symptoms of Parkinson's Disease. Movement Disorders. 2018. 10.1002/mds.27372.</w:t>
      </w:r>
    </w:p>
    <w:p>
      <w:r>
        <w:t>10. McFarthing K et al.. The Parkinson's Drug Development Pipeline: 2024 Update. Journal of Parkinson's Disease. 2024. 10.3233/JPD-240272.</w:t>
      </w:r>
    </w:p>
    <w:p>
      <w:r>
        <w:t>11. NCBI Gene Expression Omnibus. GEO accession GSE72267. GEO. 2015. https://www.ncbi.nlm.nih.gov/geo/query/acc.cgi?acc=GSE72267.</w:t>
      </w:r>
    </w:p>
    <w:p>
      <w:r>
        <w:t>12. National Library of Medicine. ClinicalTrials.gov API. ClinicalTrials.gov. 2026. https://clinicaltrials.gov/data-api/api.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