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50DB5" w14:textId="77777777" w:rsidR="00DD3D16" w:rsidRDefault="00000000">
      <w:pPr>
        <w:pStyle w:val="Heading1"/>
      </w:pPr>
      <w:bookmarkStart w:id="0" w:name="Xa464c50730d1f7d1cc5b569970e3067351b8d06"/>
      <w:r>
        <w:rPr>
          <w:rFonts w:ascii="Times New Roman" w:hAnsi="Times New Roman"/>
        </w:rPr>
        <w:t>AI-assisted evidence mapping and prioritisation of preventive and disease-modifying strategies for Parkinson disease: an evidence-to-discovery study</w:t>
      </w:r>
    </w:p>
    <w:p w14:paraId="6CBBA3D4" w14:textId="77777777" w:rsidR="00DD3D16" w:rsidRDefault="00000000">
      <w:pPr>
        <w:pStyle w:val="Heading2"/>
      </w:pPr>
      <w:bookmarkStart w:id="1" w:name="abstract"/>
      <w:r>
        <w:rPr>
          <w:rFonts w:ascii="Times New Roman" w:hAnsi="Times New Roman"/>
        </w:rPr>
        <w:t>Abstract</w:t>
      </w:r>
    </w:p>
    <w:p w14:paraId="7588FC5D" w14:textId="77777777" w:rsidR="00DD3D16" w:rsidRDefault="00000000">
      <w:pPr>
        <w:pStyle w:val="FirstParagraph"/>
      </w:pPr>
      <w:r>
        <w:rPr>
          <w:b/>
          <w:bCs/>
        </w:rPr>
        <w:t>Background:</w:t>
      </w:r>
      <w:r>
        <w:t xml:space="preserve"> Parkinson disease is a growing cause of neurological disability. No intervention is established as curative, and few candidate strategies have been compared across clinical, mechanistic, translational, and public-health domains.</w:t>
      </w:r>
    </w:p>
    <w:p w14:paraId="234681D5" w14:textId="77777777" w:rsidR="00DD3D16" w:rsidRDefault="00000000">
      <w:pPr>
        <w:pStyle w:val="BodyText"/>
      </w:pPr>
      <w:r>
        <w:rPr>
          <w:b/>
          <w:bCs/>
        </w:rPr>
        <w:t>Methods:</w:t>
      </w:r>
      <w:r>
        <w:t xml:space="preserve"> We conducted an evidence-to-discovery study integrating literature and trial evidence, ClinicalTrials.gov records, public transcriptomics, pathway enrichment, and transparent prioritisation. Candidate strategies were scored from 0 to 100 across human clinical evidence, mechanistic plausibility, genetics or omics support, safety, feasibility, and prevention relevance. Blood transcriptomic dataset GSE72267 was analysed with limma for Parkinson disease versus control differential expression, followed by Gene Ontology and Reactome enrichment of the top-ranked genes. Disease modules were then linked to modifiable intervention points and candidate actions.</w:t>
      </w:r>
    </w:p>
    <w:p w14:paraId="62EFA091" w14:textId="77777777" w:rsidR="00DD3D16" w:rsidRDefault="00000000">
      <w:pPr>
        <w:pStyle w:val="BodyText"/>
      </w:pPr>
      <w:r>
        <w:rPr>
          <w:b/>
          <w:bCs/>
        </w:rPr>
        <w:t>Results:</w:t>
      </w:r>
      <w:r>
        <w:t xml:space="preserve"> The highest-ranked strategies were pesticide-exposure reduction, structured aerobic or resistance exercise, glucagon-like peptide-1 receptor agonist pathways, Mediterranean or MIND-style dietary pattern, leucine-rich repeat kinase 2 inhibition, glucocerebrosidase or lysosomal modulation, head-injury prevention, and air-pollution reduction. Clinical-trial mining identified active and completed programmes across glucagon-like peptide-1 agonists, alpha-synuclein immunotherapies, leucine-rich repeat kinase 2 inhibitors, glucocerebrosidase or lysosomal therapies, cell or gene therapies, mitochondrial approaches, and anti-inflammatory strategies. In GSE72267, 22,277 probes were tested across 40 Parkinson disease and 19 control blood samples; no probe met the prespecified false-discovery-rate threshold for differential expression. Exploratory enrichment nevertheless highlighted immune and stress-response pathways.</w:t>
      </w:r>
    </w:p>
    <w:p w14:paraId="1DEFD2DD" w14:textId="77777777" w:rsidR="00DD3D16" w:rsidRDefault="00000000">
      <w:pPr>
        <w:pStyle w:val="BodyText"/>
      </w:pPr>
      <w:r>
        <w:rPr>
          <w:b/>
          <w:bCs/>
        </w:rPr>
        <w:t>Conclusion:</w:t>
      </w:r>
      <w:r>
        <w:t xml:space="preserve"> The framework prioritises intervention points rather than claiming prevention or cure. The most immediately actionable low-risk package is regular exercise, reduced pesticide exposure, head-injury prevention, metabolic-health optimisation, healthy dietary pattern, and lower air-pollution exposure where feasible. Pharmacological candidates, including glucagon-like peptide-1 receptor agonists, leucine-rich repeat kinase 2 inhibitors, glucocerebrosidase or lysosomal modulators, and alpha-synuclein-directed strategies, require confirmatory trials before clinical adoption.</w:t>
      </w:r>
    </w:p>
    <w:p w14:paraId="14792940" w14:textId="77777777" w:rsidR="00DD3D16" w:rsidRDefault="00000000">
      <w:pPr>
        <w:pStyle w:val="BodyText"/>
      </w:pPr>
      <w:r>
        <w:rPr>
          <w:b/>
          <w:bCs/>
        </w:rPr>
        <w:t>Keywords:</w:t>
      </w:r>
      <w:r>
        <w:t xml:space="preserve"> Parkinson disease; disease modification; prevention; drug repurposing; transcriptomics; India</w:t>
      </w:r>
    </w:p>
    <w:p w14:paraId="0730423D" w14:textId="77777777" w:rsidR="00DD3D16" w:rsidRDefault="00000000">
      <w:pPr>
        <w:pStyle w:val="Heading2"/>
      </w:pPr>
      <w:bookmarkStart w:id="2" w:name="introduction"/>
      <w:bookmarkEnd w:id="1"/>
      <w:r>
        <w:rPr>
          <w:rFonts w:ascii="Times New Roman" w:hAnsi="Times New Roman"/>
        </w:rPr>
        <w:t>Introduction</w:t>
      </w:r>
    </w:p>
    <w:p w14:paraId="6169C44C" w14:textId="77777777" w:rsidR="00DD3D16" w:rsidRDefault="00000000">
      <w:pPr>
        <w:pStyle w:val="FirstParagraph"/>
      </w:pPr>
      <w:r>
        <w:t>Parkinson disease is a major and increasing cause of disability worldwide.1 Current therapies improve symptoms, but they do not establish prevention, cure, or confirmed disease modification.2 Candidate interventions now span lifestyle measures, environmental risk reduction, repurposed metabolic drugs, genetically anchored therapies, and immune or proteinopathy-directed approaches. The difficulty is not a lack of hypotheses, but the absence of a transparent framework for comparing them across clinical evidence, biological plausibility, translational readiness, and public-health relevance.</w:t>
      </w:r>
    </w:p>
    <w:p w14:paraId="319C82E8" w14:textId="77777777" w:rsidR="00DD3D16" w:rsidRDefault="00000000">
      <w:pPr>
        <w:pStyle w:val="BodyText"/>
      </w:pPr>
      <w:r>
        <w:lastRenderedPageBreak/>
        <w:t>Several disease modules are repeatedly implicated in Parkinson disease, including alpha-synuclein aggregation, mitochondrial dysfunction, lysosomal-autophagy impairment, neuroinflammation, and genetic susceptibility. Environmental exposures such as pesticides and air pollution may interact with these vulnerabilities, while exercise and metabolic health may modify physiological reserve. Glucagon-like peptide-1 receptor agonists have drawn attention after encouraging trial signals,3,4 whereas major alpha-synuclein antibody studies have not shown clear efficacy.5,6 Leucine-rich repeat kinase 2 and glucocerebrosidase pathways remain attractive because they are genetically and mechanistically anchored.7</w:t>
      </w:r>
    </w:p>
    <w:p w14:paraId="5C56DC51" w14:textId="77777777" w:rsidR="00DD3D16" w:rsidRDefault="00000000">
      <w:pPr>
        <w:pStyle w:val="BodyText"/>
      </w:pPr>
      <w:r>
        <w:t>We therefore aimed to identify and prioritise preventive and disease-modifying intervention points for Parkinson disease by integrating evidence mapping, clinical-trial mining, public transcriptomics, pathway analysis, and translational judgement, with explicit consideration of relevance to healthcare in India.</w:t>
      </w:r>
    </w:p>
    <w:p w14:paraId="0B4EE7B2" w14:textId="77777777" w:rsidR="00DD3D16" w:rsidRDefault="00000000">
      <w:pPr>
        <w:pStyle w:val="Heading2"/>
      </w:pPr>
      <w:bookmarkStart w:id="3" w:name="methods"/>
      <w:bookmarkEnd w:id="2"/>
      <w:r>
        <w:rPr>
          <w:rFonts w:ascii="Times New Roman" w:hAnsi="Times New Roman"/>
        </w:rPr>
        <w:t>Methods</w:t>
      </w:r>
    </w:p>
    <w:p w14:paraId="6D1B4A17" w14:textId="77777777" w:rsidR="00DD3D16" w:rsidRDefault="00000000">
      <w:pPr>
        <w:pStyle w:val="Heading3"/>
      </w:pPr>
      <w:bookmarkStart w:id="4" w:name="study-design"/>
      <w:r>
        <w:t>Study design</w:t>
      </w:r>
    </w:p>
    <w:p w14:paraId="4AF6378F" w14:textId="77777777" w:rsidR="00DD3D16" w:rsidRDefault="00000000">
      <w:pPr>
        <w:pStyle w:val="FirstParagraph"/>
      </w:pPr>
      <w:r>
        <w:t>We conducted an artificial intelligence-assisted evidence-to-discovery study combining evidence mapping, clinical-trial mining, transparent scoring, public transcriptomic analysis, pathway enrichment, and pathway-to-intervention mapping.</w:t>
      </w:r>
    </w:p>
    <w:p w14:paraId="62BE55AB" w14:textId="77777777" w:rsidR="00DD3D16" w:rsidRDefault="00000000">
      <w:pPr>
        <w:pStyle w:val="Heading3"/>
      </w:pPr>
      <w:bookmarkStart w:id="5" w:name="evidence-sources-and-eligibility"/>
      <w:bookmarkEnd w:id="4"/>
      <w:r>
        <w:t>Evidence sources and eligibility</w:t>
      </w:r>
    </w:p>
    <w:p w14:paraId="3AE97077" w14:textId="77777777" w:rsidR="00DD3D16" w:rsidRDefault="00000000">
      <w:pPr>
        <w:pStyle w:val="FirstParagraph"/>
      </w:pPr>
      <w:r>
        <w:t>Evidence sources included biomedical literature, ClinicalTrials.gov records, public Gene Expression Omnibus datasets, pathway resources, and drug-target resources. Search concepts covered Parkinson disease, prevention, disease-modifying therapy, alpha-synuclein, leucine-rich repeat kinase 2, glucocerebrosidase, mitochondrial dysfunction, neuroinflammation, glucagon-like peptide-1 receptor agonists, exercise, diet, pesticides, air pollution, head injury, stem-cell therapy, gene therapy, and drug repurposing. Priority was given to systematic reviews, meta-analyses, randomised trials, cohort studies, Mendelian-randomisation analyses, public omics studies, mechanistic studies with translational relevance, and registered clinical trials. Narrative claims without traceable support were not used for scoring.</w:t>
      </w:r>
    </w:p>
    <w:p w14:paraId="288C5BED" w14:textId="77777777" w:rsidR="00DD3D16" w:rsidRDefault="00000000">
      <w:pPr>
        <w:pStyle w:val="Heading3"/>
      </w:pPr>
      <w:bookmarkStart w:id="6" w:name="data-extraction-and-prioritisation"/>
      <w:bookmarkEnd w:id="5"/>
      <w:r>
        <w:t>Data extraction and prioritisation</w:t>
      </w:r>
    </w:p>
    <w:p w14:paraId="2BAF4CA5" w14:textId="77777777" w:rsidR="00DD3D16" w:rsidRDefault="00000000">
      <w:pPr>
        <w:pStyle w:val="FirstParagraph"/>
      </w:pPr>
      <w:r>
        <w:t>For each candidate intervention or target, we extracted study design, population, intervention or exposure, comparator, outcomes, effect direction, mechanistic rationale, trial phase, safety concerns, and translational feasibility. Candidates were scored on a 0 to 100 scale across six domains: human clinical evidence (30 points), mechanistic plausibility (20), genetics or omics support (15), safety or tolerability (15), feasibility or scalability (10), and prevention or public-health relevance (10). Scores of 80 to 100 were classified as high translational priority, 60 to 79 as promising but requiring validation, 40 to 59 as biologically interesting with weak current human evidence, and below 40 as low current priority.</w:t>
      </w:r>
    </w:p>
    <w:p w14:paraId="7F1C1C98" w14:textId="77777777" w:rsidR="00DD3D16" w:rsidRDefault="00000000">
      <w:pPr>
        <w:pStyle w:val="Heading3"/>
      </w:pPr>
      <w:bookmarkStart w:id="7" w:name="clinical-trial-mining"/>
      <w:bookmarkEnd w:id="6"/>
      <w:r>
        <w:t>Clinical-trial mining</w:t>
      </w:r>
    </w:p>
    <w:p w14:paraId="7481FE6F" w14:textId="77777777" w:rsidR="00DD3D16" w:rsidRDefault="00000000">
      <w:pPr>
        <w:pStyle w:val="FirstParagraph"/>
      </w:pPr>
      <w:r>
        <w:t>ClinicalTrials.gov version 2 API searches targeted glucagon-like peptide-1 receptor agonists, alpha-synuclein antibodies or vaccines, leucine-rich repeat kinase 2 inhibitors, glucocerebrosidase or lysosomal therapies, stem-cell therapies, gene therapies, mitochondrial approaches, and anti-inflammatory therapies.8 Extracted variables included trial identifier, intervention, phase, recruitment status, sample size, completion date, and results availability.</w:t>
      </w:r>
    </w:p>
    <w:p w14:paraId="3A0AD50C" w14:textId="77777777" w:rsidR="00DD3D16" w:rsidRDefault="00000000">
      <w:pPr>
        <w:pStyle w:val="Heading3"/>
      </w:pPr>
      <w:bookmarkStart w:id="8" w:name="transcriptomic-and-pathway-analysis"/>
      <w:bookmarkEnd w:id="7"/>
      <w:r>
        <w:lastRenderedPageBreak/>
        <w:t>Transcriptomic and pathway analysis</w:t>
      </w:r>
    </w:p>
    <w:p w14:paraId="4C9BF66A" w14:textId="77777777" w:rsidR="00DD3D16" w:rsidRDefault="00000000">
      <w:pPr>
        <w:pStyle w:val="FirstParagraph"/>
      </w:pPr>
      <w:r>
        <w:t>Public blood transcriptomic dataset GSE72267 was downloaded from the Gene Expression Omnibus.9,10 Samples were labelled as Parkinson disease or control using deposited metadata. Expression data were quality checked and analysed with limma empirical Bayes modelling for differential expression. Multiple testing was controlled with the Benjamini-Hochberg false discovery rate. The prespecified significance threshold was false discovery rate below 0.05 with absolute log2 fold-change at least 0.25. The top-ranked 500 genes were then explored with Gene Ontology biological-process enrichment and Reactome pathway enrichment. Reactome results were treated as exploratory because leading adjusted p values did not remain below 0.05.</w:t>
      </w:r>
    </w:p>
    <w:p w14:paraId="16491E2C" w14:textId="77777777" w:rsidR="00DD3D16" w:rsidRDefault="00000000">
      <w:pPr>
        <w:pStyle w:val="Heading3"/>
      </w:pPr>
      <w:bookmarkStart w:id="9" w:name="Xe34fd5d2db3bbcb80b24c00389603722fb6b8cc"/>
      <w:bookmarkEnd w:id="8"/>
      <w:r>
        <w:t>Pathway-to-intervention framework and Indian relevance</w:t>
      </w:r>
    </w:p>
    <w:p w14:paraId="0E173369" w14:textId="77777777" w:rsidR="00DD3D16" w:rsidRDefault="00000000">
      <w:pPr>
        <w:pStyle w:val="FirstParagraph"/>
      </w:pPr>
      <w:r>
        <w:t>Disease modules were mapped to intervention points and concrete actions. Modules included environmental toxicant biology, exercise-responsive metabolic and inflammatory reserve, glucagon-like peptide-1 signalling, innate immune signalling, leucine-rich repeat kinase 2 biology, glucocerebrosidase or lysosomal dysfunction, alpha-synuclein aggregation, and mitochondrial quality control. Relevance to India was considered in relation to pesticide exposure, occupational and rural surveillance, physical activity promotion, dietary quality, metabolic risk, air pollution, head-injury prevention, and implementation through primary care or non-communicable disease services.</w:t>
      </w:r>
    </w:p>
    <w:p w14:paraId="2B1C0A2E" w14:textId="77777777" w:rsidR="00DD3D16" w:rsidRDefault="00000000">
      <w:pPr>
        <w:pStyle w:val="Heading3"/>
      </w:pPr>
      <w:bookmarkStart w:id="10" w:name="downstream-translational-benchmarking"/>
      <w:bookmarkEnd w:id="9"/>
      <w:r>
        <w:t>Downstream translational benchmarking</w:t>
      </w:r>
    </w:p>
    <w:p w14:paraId="6DBF41AD" w14:textId="77777777" w:rsidR="00DD3D16" w:rsidRDefault="00000000">
      <w:pPr>
        <w:pStyle w:val="FirstParagraph"/>
      </w:pPr>
      <w:r>
        <w:t>To extend pathway-level prioritisation into experimentally actionable outputs, we integrated the prioritised modules with protein-structure annotation, tractability and chemistry fields, cell-type context, assay mapping, and knowledge-graph exports generated in the downstream benchmark workspace. Inputs included UniProt, Protein Data Bank or AlphaFold structural availability, ChEMBL activity records, Human Protein Atlas context flags, and experimentally oriented model-assay mappings. We also reviewed cross-dataset pathway recurrence across GSE72267 blood and substantia nigra datasets GSE7621 and GSE20163 to identify themes recurring beyond a single dataset.</w:t>
      </w:r>
    </w:p>
    <w:p w14:paraId="5D47882D" w14:textId="77777777" w:rsidR="00DD3D16" w:rsidRDefault="00000000">
      <w:pPr>
        <w:pStyle w:val="Heading3"/>
      </w:pPr>
      <w:bookmarkStart w:id="11" w:name="ethics"/>
      <w:bookmarkEnd w:id="10"/>
      <w:r>
        <w:t>Ethics</w:t>
      </w:r>
    </w:p>
    <w:p w14:paraId="1C4009C8" w14:textId="77777777" w:rsidR="00DD3D16" w:rsidRDefault="00000000">
      <w:pPr>
        <w:pStyle w:val="FirstParagraph"/>
      </w:pPr>
      <w:r>
        <w:t>This study used public literature, public trial metadata, and de-identified public transcriptomic data. No new human participants were recruited and no identifiable patient information was collected; therefore institutional ethics approval and individual consent were not required for this analysis.</w:t>
      </w:r>
    </w:p>
    <w:p w14:paraId="5FC3F28E" w14:textId="77777777" w:rsidR="00DD3D16" w:rsidRDefault="00000000">
      <w:pPr>
        <w:pStyle w:val="Heading2"/>
      </w:pPr>
      <w:bookmarkStart w:id="12" w:name="results"/>
      <w:bookmarkEnd w:id="3"/>
      <w:bookmarkEnd w:id="11"/>
      <w:r>
        <w:rPr>
          <w:rFonts w:ascii="Times New Roman" w:hAnsi="Times New Roman"/>
        </w:rPr>
        <w:t>Results</w:t>
      </w:r>
    </w:p>
    <w:p w14:paraId="7B3D1490" w14:textId="77777777" w:rsidR="00DD3D16" w:rsidRDefault="00000000">
      <w:pPr>
        <w:pStyle w:val="Heading3"/>
      </w:pPr>
      <w:bookmarkStart w:id="13" w:name="evidence-yield"/>
      <w:r>
        <w:t>Evidence yield</w:t>
      </w:r>
    </w:p>
    <w:p w14:paraId="714AD67D" w14:textId="77777777" w:rsidR="00DD3D16" w:rsidRDefault="00000000">
      <w:pPr>
        <w:pStyle w:val="FirstParagraph"/>
      </w:pPr>
      <w:r>
        <w:t>The workflow identified 1,248 records, 936 records after deduplication, 214 full-text or source records assessed, and 86 records retained for evidence mapping (Fig 1). Exclusion categories included duplicates, non-Parkinson populations, wrong outcomes, unsupported narrative claims, and mechanistic-only reports without translational linkage.</w:t>
      </w:r>
    </w:p>
    <w:p w14:paraId="5F13751D" w14:textId="77777777" w:rsidR="00DD3D16" w:rsidRDefault="00000000">
      <w:pPr>
        <w:pStyle w:val="Heading3"/>
      </w:pPr>
      <w:bookmarkStart w:id="14" w:name="prioritised-intervention-points"/>
      <w:bookmarkEnd w:id="13"/>
      <w:r>
        <w:t>Prioritised intervention points</w:t>
      </w:r>
    </w:p>
    <w:p w14:paraId="0880D58C" w14:textId="77777777" w:rsidR="00DD3D16" w:rsidRDefault="00000000">
      <w:pPr>
        <w:pStyle w:val="FirstParagraph"/>
      </w:pPr>
      <w:r>
        <w:t xml:space="preserve">The highest-ranked strategies were pesticide-exposure reduction (83/100), structured aerobic or resistance exercise (82/100), glucagon-like peptide-1 receptor agonists (72/100), </w:t>
      </w:r>
      <w:r>
        <w:lastRenderedPageBreak/>
        <w:t>Mediterranean or MIND-style dietary pattern (66/100), leucine-rich repeat kinase 2 inhibition (64/100), glucocerebrosidase or lysosomal modulation (62/100), head-injury prevention (61/100), air-pollution reduction (60/100), alpha-synuclein immunotherapy (54/100), and mitochondrial modulators (52/100).</w:t>
      </w:r>
    </w:p>
    <w:p w14:paraId="518D0093" w14:textId="77777777" w:rsidR="00DD3D16" w:rsidRDefault="00000000">
      <w:pPr>
        <w:pStyle w:val="BodyText"/>
      </w:pPr>
      <w:r>
        <w:t>This ranking distinguished biological importance from translational readiness. Alpha-synuclein remained central to pathogenesis, but present clinical evidence lowered its immediate class-level priority because major antibody trials were mixed or negative.3,4 By contrast, pesticide-exposure reduction and exercise ranked highly because they combine plausibility, safety, modifiability, and likely scalability.</w:t>
      </w:r>
    </w:p>
    <w:p w14:paraId="295BE165" w14:textId="77777777" w:rsidR="00DD3D16" w:rsidRDefault="00000000">
      <w:pPr>
        <w:pStyle w:val="Heading3"/>
      </w:pPr>
      <w:bookmarkStart w:id="15" w:name="pathway-to-intervention-framework"/>
      <w:bookmarkEnd w:id="14"/>
      <w:r>
        <w:t>Pathway-to-intervention framework</w:t>
      </w:r>
    </w:p>
    <w:p w14:paraId="44E298F0" w14:textId="77777777" w:rsidR="00DD3D16" w:rsidRDefault="00000000">
      <w:pPr>
        <w:pStyle w:val="FirstParagraph"/>
      </w:pPr>
      <w:r>
        <w:t>The framework highlighted three broad translational layers. First, public-health and risk-reduction strategies targeted potentially modifiable exposures and physiological reserve through safer pesticide practices, structured exercise, head-injury prevention, metabolic optimisation, dietary quality, and lower air-pollution exposure where feasible. Second, biologically specific disease-modifying strategies centred on glucagon-like peptide-1 pathways, leucine-rich repeat kinase 2 inhibition, and glucocerebrosidase or lysosomal modulation. Third, lower-confidence but biologically important approaches included alpha-synuclein-directed strategies, broad anti-inflammatory approaches, and mitochondrial modulators. These module-to-action links are summarised in Fig 2.</w:t>
      </w:r>
    </w:p>
    <w:p w14:paraId="44120056" w14:textId="77777777" w:rsidR="00DD3D16" w:rsidRDefault="00000000">
      <w:pPr>
        <w:pStyle w:val="Heading3"/>
      </w:pPr>
      <w:bookmarkStart w:id="16" w:name="clinical-trial-landscape"/>
      <w:bookmarkEnd w:id="15"/>
      <w:r>
        <w:t>Clinical-trial landscape</w:t>
      </w:r>
    </w:p>
    <w:p w14:paraId="01A3B239" w14:textId="77777777" w:rsidR="00DD3D16" w:rsidRDefault="00000000">
      <w:pPr>
        <w:pStyle w:val="FirstParagraph"/>
      </w:pPr>
      <w:r>
        <w:t>Clinical-trial mining identified 59 records across the prespecified therapeutic categories. Glucagon-like peptide-1 receptor agonists remained one of the most visible repurposing classes after the lixisenatide and exenatide trials.3,4 Leucine-rich repeat kinase 2 inhibitors were in active clinical development and represented one of the clearest genetically anchored pipelines.7 Alpha-synuclein immunotherapies, glucocerebrosidase-directed therapies, cell or gene therapies, mitochondrial strategies, and anti-inflammatory approaches remained important but heterogeneous components of the current development landscape.11</w:t>
      </w:r>
    </w:p>
    <w:p w14:paraId="7FF8D30D" w14:textId="77777777" w:rsidR="00DD3D16" w:rsidRDefault="00000000">
      <w:pPr>
        <w:pStyle w:val="Heading3"/>
      </w:pPr>
      <w:bookmarkStart w:id="17" w:name="transcriptomic-and-pathway-findings"/>
      <w:bookmarkEnd w:id="16"/>
      <w:r>
        <w:t>Transcriptomic and pathway findings</w:t>
      </w:r>
    </w:p>
    <w:p w14:paraId="07C58939" w14:textId="77777777" w:rsidR="00DD3D16" w:rsidRDefault="00000000">
      <w:pPr>
        <w:pStyle w:val="FirstParagraph"/>
      </w:pPr>
      <w:r>
        <w:t>GSE72267 contained 59 blood samples: 40 Parkinson disease and 19 control samples. Limma tested 22,277 probes. No probe met the prespecified false-discovery-rate and fold-change threshold, arguing against overinterpretation of this dataset as a robust standalone blood signature. Gene Ontology enrichment of the top-ranked genes nevertheless identified pathways related to lymph node development and cellular senescence, while exploratory Reactome analysis highlighted neuroimmune and stress-response themes including tropomyosin receptor kinase, Toll-like receptor, interleukin-17, and nucleotide-binding oligomerisation domain signalling. The volcano plot for this analysis is shown in Fig 3.</w:t>
      </w:r>
    </w:p>
    <w:p w14:paraId="402DF326" w14:textId="77777777" w:rsidR="00DD3D16" w:rsidRDefault="00000000">
      <w:pPr>
        <w:pStyle w:val="Heading3"/>
      </w:pPr>
      <w:bookmarkStart w:id="18" w:name="X5002c658327ef8b92b52447a287eba296d7a9cd"/>
      <w:bookmarkEnd w:id="17"/>
      <w:r>
        <w:t>Downstream target benchmark and recurrence evidence</w:t>
      </w:r>
    </w:p>
    <w:p w14:paraId="3DD5CF6C" w14:textId="77777777" w:rsidR="00DD3D16" w:rsidRDefault="00000000">
      <w:pPr>
        <w:pStyle w:val="FirstParagraph"/>
      </w:pPr>
      <w:r>
        <w:t xml:space="preserve">The downstream benchmark converged on a high-priority validation set comprising SNCA, GLP1R, LRRK2, GBA1, MAPK1, NOD2, IL17A, TLR2, NTRK1, and SLC6A3, with benchmark consensus scores ranging from 69.1 to 77.1 out of 100. These nodes linked the pathway-level results to specific experimental systems, including dopaminergic-neuron, microglial, and co-culture models with assayable endpoints such as phospho-Rab10, glucocerebrosidase activity, alpha-synuclein burden, cytokine release, neurite survival, and </w:t>
      </w:r>
      <w:r>
        <w:lastRenderedPageBreak/>
        <w:t>mitochondrial stress readouts. The associated knowledge graph contained 138 nodes and 125 edges linking targets, pathways, compounds, model systems, and evidence types.</w:t>
      </w:r>
    </w:p>
    <w:p w14:paraId="4E833B2C" w14:textId="77777777" w:rsidR="00DD3D16" w:rsidRDefault="00000000">
      <w:pPr>
        <w:pStyle w:val="BodyText"/>
      </w:pPr>
      <w:r>
        <w:t>Cross-dataset recurrence analysis across GSE72267, GSE7621, and GSE20163 showed that although robust differential-expression signals were inconsistent at the single-gene level, broader biological themes recurred across datasets. The strongest recurring signals included cytoplasmic translation, ribonucleoprotein complex biogenesis, regulation of apoptotic signalling, protein localisation, ribosome biogenesis, and oxidative-stress-related apoptotic pathways. These findings strengthened the interpretation that pathway-level convergence was more reproducible than any single blood expression hit.</w:t>
      </w:r>
    </w:p>
    <w:p w14:paraId="1B81F821" w14:textId="77777777" w:rsidR="00DD3D16" w:rsidRDefault="00000000">
      <w:pPr>
        <w:pStyle w:val="Heading3"/>
      </w:pPr>
      <w:bookmarkStart w:id="19" w:name="drug-repurposing-candidates"/>
      <w:bookmarkEnd w:id="18"/>
      <w:r>
        <w:t>Drug-repurposing candidates</w:t>
      </w:r>
    </w:p>
    <w:p w14:paraId="6418C81A" w14:textId="77777777" w:rsidR="00DD3D16" w:rsidRDefault="00000000">
      <w:pPr>
        <w:pStyle w:val="FirstParagraph"/>
      </w:pPr>
      <w:r>
        <w:t>Among computationally prioritised candidates, lixisenatide, exenatide, leucine-rich repeat kinase 2 inhibitors, ambroxol, N-acetylcysteine, and anti-inflammatory comparators represented the main repurposing landscape. Their ranking reflected a balance between human evidence, biological plausibility, safety, and feasibility rather than a recommendation for clinical use (Fig 4).</w:t>
      </w:r>
    </w:p>
    <w:p w14:paraId="25C17D8A" w14:textId="77777777" w:rsidR="00DD3D16" w:rsidRDefault="00000000">
      <w:pPr>
        <w:pStyle w:val="BodyText"/>
      </w:pPr>
      <w:r>
        <w:t>The downstream chemical triage layer reviewed 48 manually curated compound records. Six were retained for deeper review, whereas 42 were explicitly classified as comparator-only or do-not-prioritise records because of polypharmacology, selectivity, or weak disease-modifying rationale. This step was important because superficially high-scoring compounds were often inappropriate as therapeutic leads once selectivity and mechanism were considered. The integrated prioritisation framework is summarised in Fig 5.</w:t>
      </w:r>
    </w:p>
    <w:p w14:paraId="0AF9E6C9" w14:textId="77777777" w:rsidR="00DD3D16" w:rsidRDefault="00000000">
      <w:pPr>
        <w:pStyle w:val="Heading2"/>
      </w:pPr>
      <w:bookmarkStart w:id="20" w:name="discussion"/>
      <w:bookmarkEnd w:id="12"/>
      <w:bookmarkEnd w:id="19"/>
      <w:r>
        <w:rPr>
          <w:rFonts w:ascii="Times New Roman" w:hAnsi="Times New Roman"/>
        </w:rPr>
        <w:t>Discussion</w:t>
      </w:r>
    </w:p>
    <w:p w14:paraId="301763B8" w14:textId="77777777" w:rsidR="00DD3D16" w:rsidRDefault="00000000">
      <w:pPr>
        <w:pStyle w:val="FirstParagraph"/>
      </w:pPr>
      <w:r>
        <w:t>This study identified intervention priorities for Parkinson disease by integrating heterogeneous evidence rather than privileging a single data source. The most actionable near-term strategies were low-risk measures with broad health value, especially exercise and reduction of potentially harmful exposures. The most biologically specific pharmacological candidates were glucagon-like peptide-1 receptor agonist pathways, leucine-rich repeat kinase 2 inhibition, and glucocerebrosidase or lysosomal modulation, while alpha-synuclein approaches remained mechanistically important but clinically uncertain.</w:t>
      </w:r>
    </w:p>
    <w:p w14:paraId="0C595440" w14:textId="77777777" w:rsidR="00DD3D16" w:rsidRDefault="00000000">
      <w:pPr>
        <w:pStyle w:val="BodyText"/>
      </w:pPr>
      <w:r>
        <w:t>The negative differential-expression result in GSE72267 was also informative. It reduced the risk of overstating blood transcriptomic findings and supported a more cautious conclusion: pathway-level immune and stress-response signals may be hypothesis-generating, but they are not confirmatory on their own. This distinction is important because translational prioritisation is often distorted when weak omics signals are presented as definitive evidence.</w:t>
      </w:r>
    </w:p>
    <w:p w14:paraId="5A01DCE3" w14:textId="77777777" w:rsidR="00DD3D16" w:rsidRDefault="00000000">
      <w:pPr>
        <w:pStyle w:val="BodyText"/>
      </w:pPr>
      <w:r>
        <w:t>The framework aligned with existing trial literature for lixisenatide and exenatide,3,4 with the disappointing experience of major alpha-synuclein antibody programmes,5,6 with exercise data relevant to symptom progression and feasibility.12 It also supported an Indian health-system framing in which prevention-oriented measures can be embedded in primary care, occupational health, non-communicable disease clinics, and public-health regulation rather than specialist neurology settings alone.</w:t>
      </w:r>
    </w:p>
    <w:p w14:paraId="1483CECD" w14:textId="77777777" w:rsidR="00DD3D16" w:rsidRDefault="00000000">
      <w:pPr>
        <w:pStyle w:val="BodyText"/>
      </w:pPr>
      <w:r>
        <w:t xml:space="preserve">The advanced downstream analyses made the prioritisation framework more actionable. Instead of stopping at pathway nomination, the project now connected high-priority modules to tractable targets, candidate assays, cell models, compound-triage filters, and a structured knowledge graph. This additional layer particularly reinforced glucagon-like peptide-1 </w:t>
      </w:r>
      <w:r>
        <w:lastRenderedPageBreak/>
        <w:t>signalling, leucine-rich repeat kinase 2, glucocerebrosidase or lysosomal biology, alpha-synuclein, and neuroimmune pathways as validation-ready modules rather than only conceptual priorities.</w:t>
      </w:r>
    </w:p>
    <w:p w14:paraId="1FA15C40" w14:textId="77777777" w:rsidR="00DD3D16" w:rsidRDefault="00000000">
      <w:pPr>
        <w:pStyle w:val="BodyText"/>
      </w:pPr>
      <w:r>
        <w:t>The study has limitations. It was an evidence-to-discovery analysis rather than a registered systematic review, and some prioritisation steps still depended on transparent expert judgement. The transcriptomic component relied on a single public blood dataset and therefore could not fully represent brain-region biology. Drug-repurposing outputs remained hypothesis-generating, and all pharmacological candidates require prospective validation.</w:t>
      </w:r>
    </w:p>
    <w:p w14:paraId="0C5CCB8F" w14:textId="77777777" w:rsidR="00DD3D16" w:rsidRDefault="00000000">
      <w:pPr>
        <w:pStyle w:val="BodyText"/>
      </w:pPr>
      <w:r>
        <w:t>Overall, the main practical implication is that the current evidence supports two parallel agendas. One is a public-health agenda focused on exercise, safer pesticide exposure, metabolic health, head-injury prevention, and air-quality improvement. The other is a trial agenda focused on genetically or biologically anchored disease-modifying strategies. Neither agenda justifies claims of cure, but both help prioritise where evidence, policy, and future trials should concentrate.</w:t>
      </w:r>
    </w:p>
    <w:p w14:paraId="5EF9EB4A" w14:textId="77777777" w:rsidR="00DD3D16" w:rsidRDefault="00000000">
      <w:pPr>
        <w:pStyle w:val="Heading2"/>
      </w:pPr>
      <w:bookmarkStart w:id="21" w:name="acknowledgements"/>
      <w:bookmarkEnd w:id="20"/>
      <w:r>
        <w:rPr>
          <w:rFonts w:ascii="Times New Roman" w:hAnsi="Times New Roman"/>
        </w:rPr>
        <w:t>Acknowledgements</w:t>
      </w:r>
    </w:p>
    <w:p w14:paraId="34C45485" w14:textId="77777777" w:rsidR="00DD3D16" w:rsidRDefault="00000000">
      <w:pPr>
        <w:pStyle w:val="FirstParagraph"/>
      </w:pPr>
      <w:r>
        <w:t>Data availability: Generated analysis files, figures, and supporting materials are available within the project package together with public mirrors hosted on Kaggle and Hugging Face. Public source data are available from the cited Gene Expression Omnibus accession, ClinicalTrials.gov records, and referenced literature.</w:t>
      </w:r>
    </w:p>
    <w:p w14:paraId="6AEB359A" w14:textId="77777777" w:rsidR="00DD3D16" w:rsidRDefault="00000000">
      <w:pPr>
        <w:pStyle w:val="BodyText"/>
      </w:pPr>
      <w:r>
        <w:t>Artificial intelligence disclosure: Artificial intelligence-assisted tools were used within the evidence-mapping and prioritisation workflow. All extracted evidence, analyses, interpretations, and manuscript text require and received human review before inclusion in the submission package.</w:t>
      </w:r>
    </w:p>
    <w:p w14:paraId="5C743321" w14:textId="77777777" w:rsidR="00DD3D16" w:rsidRDefault="00000000">
      <w:pPr>
        <w:pStyle w:val="BodyText"/>
      </w:pPr>
      <w:r>
        <w:t>Funding and competing interests: Insert final author-approved declarations on the title page and in the submission system.</w:t>
      </w:r>
    </w:p>
    <w:p w14:paraId="70DA5F43" w14:textId="77777777" w:rsidR="00DD3D16" w:rsidRDefault="00000000">
      <w:pPr>
        <w:pStyle w:val="Heading2"/>
      </w:pPr>
      <w:bookmarkStart w:id="22" w:name="references"/>
      <w:bookmarkEnd w:id="21"/>
      <w:r>
        <w:rPr>
          <w:rFonts w:ascii="Times New Roman" w:hAnsi="Times New Roman"/>
        </w:rPr>
        <w:t>References</w:t>
      </w:r>
    </w:p>
    <w:p w14:paraId="04858B39" w14:textId="77777777" w:rsidR="00DD3D16" w:rsidRDefault="00000000">
      <w:pPr>
        <w:pStyle w:val="Compact"/>
        <w:numPr>
          <w:ilvl w:val="0"/>
          <w:numId w:val="2"/>
        </w:numPr>
      </w:pPr>
      <w:r>
        <w:t xml:space="preserve">GBD 2016 Parkinson’s Disease Collaborators. Global, regional, and national burden of Parkinson’s disease, 1990-2016: a systematic analysis for the Global Burden of Disease Study 2016. </w:t>
      </w:r>
      <w:r>
        <w:rPr>
          <w:i/>
          <w:iCs/>
        </w:rPr>
        <w:t>Lancet Neurol</w:t>
      </w:r>
      <w:r>
        <w:t>. 2018;17(11):939-953. doi:10.1016/S1474-4422(18)30295-3</w:t>
      </w:r>
    </w:p>
    <w:p w14:paraId="123AC32E" w14:textId="77777777" w:rsidR="00DD3D16" w:rsidRDefault="00000000">
      <w:pPr>
        <w:pStyle w:val="Compact"/>
        <w:numPr>
          <w:ilvl w:val="0"/>
          <w:numId w:val="2"/>
        </w:numPr>
      </w:pPr>
      <w:r>
        <w:t xml:space="preserve">Fox SH, Katzenschlager R, Lim SY, et al. International Parkinson and Movement Disorder Society evidence-based medicine review: update on treatments for the motor symptoms of Parkinson’s disease. </w:t>
      </w:r>
      <w:r>
        <w:rPr>
          <w:i/>
          <w:iCs/>
        </w:rPr>
        <w:t>Mov Disord</w:t>
      </w:r>
      <w:r>
        <w:t>. 2018;33(8):1248-1266. doi:10.1002/mds.27372</w:t>
      </w:r>
    </w:p>
    <w:p w14:paraId="735E7B66" w14:textId="77777777" w:rsidR="00DD3D16" w:rsidRDefault="00000000">
      <w:pPr>
        <w:pStyle w:val="Compact"/>
        <w:numPr>
          <w:ilvl w:val="0"/>
          <w:numId w:val="2"/>
        </w:numPr>
      </w:pPr>
      <w:r>
        <w:t xml:space="preserve">Meissner WG, Remy P, Giordana C, et al. Trial of lixisenatide in early Parkinson’s disease. </w:t>
      </w:r>
      <w:r>
        <w:rPr>
          <w:i/>
          <w:iCs/>
        </w:rPr>
        <w:t>N Engl J Med</w:t>
      </w:r>
      <w:r>
        <w:t>. 2024;390(13):1176-1185. doi:10.1056/NEJMoa2312323</w:t>
      </w:r>
    </w:p>
    <w:p w14:paraId="0AB0E108" w14:textId="77777777" w:rsidR="00DD3D16" w:rsidRDefault="00000000">
      <w:pPr>
        <w:pStyle w:val="Compact"/>
        <w:numPr>
          <w:ilvl w:val="0"/>
          <w:numId w:val="2"/>
        </w:numPr>
      </w:pPr>
      <w:r>
        <w:t xml:space="preserve">Athauda D, Maclagan K, Budnik N, et al. Exenatide once weekly versus placebo in Parkinson’s disease: a randomised, double-blind, placebo-controlled trial. </w:t>
      </w:r>
      <w:r>
        <w:rPr>
          <w:i/>
          <w:iCs/>
        </w:rPr>
        <w:t>Lancet</w:t>
      </w:r>
      <w:r>
        <w:t>. 2017;390(10103):1664-1675. doi:10.1016/S0140-6736(17)31585-4</w:t>
      </w:r>
    </w:p>
    <w:p w14:paraId="3EB5B5D1" w14:textId="77777777" w:rsidR="00DD3D16" w:rsidRDefault="00000000">
      <w:pPr>
        <w:pStyle w:val="Compact"/>
        <w:numPr>
          <w:ilvl w:val="0"/>
          <w:numId w:val="2"/>
        </w:numPr>
      </w:pPr>
      <w:r>
        <w:t xml:space="preserve">Pagano G, Taylor KI, Anzures-Cabrera J, et al. Trial of prasinezumab in early-stage Parkinson’s disease. </w:t>
      </w:r>
      <w:r>
        <w:rPr>
          <w:i/>
          <w:iCs/>
        </w:rPr>
        <w:t>N Engl J Med</w:t>
      </w:r>
      <w:r>
        <w:t>. 2022;387(5):421-432. doi:10.1056/NEJMoa2202867</w:t>
      </w:r>
    </w:p>
    <w:p w14:paraId="5C0CD875" w14:textId="77777777" w:rsidR="00DD3D16" w:rsidRDefault="00000000">
      <w:pPr>
        <w:pStyle w:val="Compact"/>
        <w:numPr>
          <w:ilvl w:val="0"/>
          <w:numId w:val="2"/>
        </w:numPr>
      </w:pPr>
      <w:r>
        <w:t xml:space="preserve">Lang AE, Siderowf AD, Macklin EA, et al. Trial of cinpanemab in early Parkinson’s disease. </w:t>
      </w:r>
      <w:r>
        <w:rPr>
          <w:i/>
          <w:iCs/>
        </w:rPr>
        <w:t>N Engl J Med</w:t>
      </w:r>
      <w:r>
        <w:t>. 2022;387(5):408-420. doi:10.1056/NEJMoa2203395</w:t>
      </w:r>
    </w:p>
    <w:p w14:paraId="73D8EFEB" w14:textId="77777777" w:rsidR="00DD3D16" w:rsidRDefault="00000000">
      <w:pPr>
        <w:pStyle w:val="Compact"/>
        <w:numPr>
          <w:ilvl w:val="0"/>
          <w:numId w:val="2"/>
        </w:numPr>
      </w:pPr>
      <w:r>
        <w:lastRenderedPageBreak/>
        <w:t xml:space="preserve">Jennings D, Huntwork-Rodriguez S, Henry AG, et al. Preclinical and clinical evaluation of the LRRK2 inhibitor DNL201 for Parkinson’s disease. </w:t>
      </w:r>
      <w:r>
        <w:rPr>
          <w:i/>
          <w:iCs/>
        </w:rPr>
        <w:t>Sci Transl Med</w:t>
      </w:r>
      <w:r>
        <w:t>. 2022;14(648):eabj2658. doi:10.1126/scitranslmed.abj2658</w:t>
      </w:r>
    </w:p>
    <w:p w14:paraId="64790E65" w14:textId="77777777" w:rsidR="00DD3D16" w:rsidRDefault="00000000">
      <w:pPr>
        <w:pStyle w:val="Compact"/>
        <w:numPr>
          <w:ilvl w:val="0"/>
          <w:numId w:val="2"/>
        </w:numPr>
      </w:pPr>
      <w:r>
        <w:t>ClinicalTrials.gov API [Internet]. Bethesda (MD): National Library of Medicine; 2026 [cited 2026 Apr 26]. Available from: https://clinicaltrials.gov/data-api/api</w:t>
      </w:r>
    </w:p>
    <w:p w14:paraId="132A14A2" w14:textId="77777777" w:rsidR="00DD3D16" w:rsidRDefault="00000000">
      <w:pPr>
        <w:pStyle w:val="Compact"/>
        <w:numPr>
          <w:ilvl w:val="0"/>
          <w:numId w:val="2"/>
        </w:numPr>
      </w:pPr>
      <w:r>
        <w:t xml:space="preserve">Calligaris R, Banica M, Roncaglia P, et al. Blood transcriptomics of drug-naive sporadic Parkinson’s disease patients. </w:t>
      </w:r>
      <w:r>
        <w:rPr>
          <w:i/>
          <w:iCs/>
        </w:rPr>
        <w:t>BMC Genomics</w:t>
      </w:r>
      <w:r>
        <w:t>. 2015;16:876. doi:10.1186/s12864-015-2058-3</w:t>
      </w:r>
    </w:p>
    <w:p w14:paraId="50663975" w14:textId="77777777" w:rsidR="00DD3D16" w:rsidRDefault="00000000">
      <w:pPr>
        <w:pStyle w:val="Compact"/>
        <w:numPr>
          <w:ilvl w:val="0"/>
          <w:numId w:val="2"/>
        </w:numPr>
      </w:pPr>
      <w:r>
        <w:t>National Center for Biotechnology Information. Gene Expression Omnibus accession GSE72267 [Internet]. Bethesda (MD): National Library of Medicine; 2015 [cited 2026 Apr 26]. Available from: https://www.ncbi.nlm.nih.gov/geo/query/acc.cgi?acc=GSE72267</w:t>
      </w:r>
    </w:p>
    <w:p w14:paraId="7CB71697" w14:textId="77777777" w:rsidR="00DD3D16" w:rsidRDefault="00000000">
      <w:pPr>
        <w:pStyle w:val="Compact"/>
        <w:numPr>
          <w:ilvl w:val="0"/>
          <w:numId w:val="2"/>
        </w:numPr>
      </w:pPr>
      <w:r>
        <w:t xml:space="preserve">McFarthing K, Pedraza O, Viereck C, et al. The Parkinson’s drug development pipeline: 2024 update. </w:t>
      </w:r>
      <w:r>
        <w:rPr>
          <w:i/>
          <w:iCs/>
        </w:rPr>
        <w:t>J Parkinsons Dis</w:t>
      </w:r>
      <w:r>
        <w:t>. 2024. doi:10.3233/JPD-240272</w:t>
      </w:r>
    </w:p>
    <w:p w14:paraId="16EA9DF0" w14:textId="77777777" w:rsidR="00DD3D16" w:rsidRDefault="00000000">
      <w:pPr>
        <w:pStyle w:val="Compact"/>
        <w:numPr>
          <w:ilvl w:val="0"/>
          <w:numId w:val="2"/>
        </w:numPr>
      </w:pPr>
      <w:r>
        <w:t xml:space="preserve">Schenkman M, Moore CG, Kohrt WM, et al. Effect of high-intensity treadmill exercise on motor symptoms in patients with de novo Parkinson disease: a phase 2 randomized clinical trial. </w:t>
      </w:r>
      <w:r>
        <w:rPr>
          <w:i/>
          <w:iCs/>
        </w:rPr>
        <w:t>JAMA Neurol</w:t>
      </w:r>
      <w:r>
        <w:t>. 2018;75(2):219-226. doi:10.1001/jamaneurol.2017.3517</w:t>
      </w:r>
    </w:p>
    <w:p w14:paraId="41B9B610" w14:textId="77777777" w:rsidR="00DD3D16" w:rsidRDefault="00000000">
      <w:pPr>
        <w:pStyle w:val="Heading2"/>
      </w:pPr>
      <w:bookmarkStart w:id="23" w:name="figure-legends"/>
      <w:bookmarkEnd w:id="22"/>
      <w:r>
        <w:rPr>
          <w:rFonts w:ascii="Times New Roman" w:hAnsi="Times New Roman"/>
        </w:rPr>
        <w:t>Figure Legends</w:t>
      </w:r>
    </w:p>
    <w:p w14:paraId="0C8A4E4B" w14:textId="77777777" w:rsidR="00DD3D16" w:rsidRDefault="00000000">
      <w:pPr>
        <w:pStyle w:val="FirstParagraph"/>
      </w:pPr>
      <w:r>
        <w:rPr>
          <w:b/>
          <w:bCs/>
        </w:rPr>
        <w:t>Figure 1. Evidence flow for the prioritisation workflow.</w:t>
      </w:r>
      <w:r>
        <w:t xml:space="preserve"> Automated retrieval, deduplication, screening, source assessment, and final inclusion in the evidence map.</w:t>
      </w:r>
    </w:p>
    <w:p w14:paraId="30EA5BDA" w14:textId="77777777" w:rsidR="00DD3D16" w:rsidRDefault="00000000">
      <w:pPr>
        <w:pStyle w:val="BodyText"/>
      </w:pPr>
      <w:r>
        <w:rPr>
          <w:b/>
          <w:bCs/>
        </w:rPr>
        <w:t>Figure 2. Pathway-to-intervention network.</w:t>
      </w:r>
      <w:r>
        <w:t xml:space="preserve"> Parkinson disease modules linked to modifiable intervention points and candidate interventions.</w:t>
      </w:r>
    </w:p>
    <w:p w14:paraId="29D29469" w14:textId="77777777" w:rsidR="00DD3D16" w:rsidRDefault="00000000">
      <w:pPr>
        <w:pStyle w:val="BodyText"/>
      </w:pPr>
      <w:r>
        <w:rPr>
          <w:b/>
          <w:bCs/>
        </w:rPr>
        <w:t>Figure 3. GSE72267 differential-expression volcano plot.</w:t>
      </w:r>
      <w:r>
        <w:t xml:space="preserve"> Limma analysis of Parkinson disease versus control blood transcriptomics.</w:t>
      </w:r>
    </w:p>
    <w:p w14:paraId="0E944E4C" w14:textId="77777777" w:rsidR="00DD3D16" w:rsidRDefault="00000000">
      <w:pPr>
        <w:pStyle w:val="BodyText"/>
      </w:pPr>
      <w:r>
        <w:rPr>
          <w:b/>
          <w:bCs/>
        </w:rPr>
        <w:t>Figure 4. Drug-repurposing candidate landscape.</w:t>
      </w:r>
      <w:r>
        <w:t xml:space="preserve"> Candidate compounds ranked by target-pathway relevance, supporting evidence, safety, and feasibility.</w:t>
      </w:r>
    </w:p>
    <w:p w14:paraId="6A8C7E64" w14:textId="77777777" w:rsidR="00DD3D16" w:rsidRDefault="00000000">
      <w:pPr>
        <w:pStyle w:val="BodyText"/>
      </w:pPr>
      <w:r>
        <w:rPr>
          <w:b/>
          <w:bCs/>
        </w:rPr>
        <w:t>Figure 5. Final translational priority framework.</w:t>
      </w:r>
      <w:r>
        <w:t xml:space="preserve"> Weighted scores classifying candidates into high-priority, promising, and lower-confidence groups.</w:t>
      </w:r>
      <w:bookmarkEnd w:id="0"/>
      <w:bookmarkEnd w:id="23"/>
    </w:p>
    <w:sectPr w:rsidR="00DD3D16">
      <w:footnotePr>
        <w:numRestart w:val="eachSect"/>
      </w:footnotePr>
      <w:pgSz w:w="11909" w:h="16834"/>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unga">
    <w:panose1 w:val="00000400000000000000"/>
    <w:charset w:val="01"/>
    <w:family w:val="roman"/>
    <w:pitch w:val="variable"/>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5B4B3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67DCC3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9365825">
    <w:abstractNumId w:val="0"/>
  </w:num>
  <w:num w:numId="2" w16cid:durableId="4164448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D3D16"/>
    <w:rsid w:val="00721247"/>
    <w:rsid w:val="009815FB"/>
    <w:rsid w:val="00DD3D16"/>
    <w:rsid w:val="00DF3F7C"/>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F8DF8"/>
  <w15:docId w15:val="{3879EABB-DA6F-4DD1-8B47-5922003B2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hAnsi="Times New Roman"/>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b/>
      <w:color w:val="0F4761" w:themeColor="accent1" w:themeShade="BF"/>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b/>
      <w:color w:val="0F4761" w:themeColor="accent1" w:themeShade="BF"/>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b/>
      <w:color w:val="0F4761" w:themeColor="accent1" w:themeShade="BF"/>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b/>
      <w:sz w:val="28"/>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3260</Words>
  <Characters>18586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Dr Siddalingaiah H S</cp:lastModifiedBy>
  <cp:revision>3</cp:revision>
  <dcterms:created xsi:type="dcterms:W3CDTF">2026-04-26T13:27:00Z</dcterms:created>
  <dcterms:modified xsi:type="dcterms:W3CDTF">2026-04-26T14:04:00Z</dcterms:modified>
</cp:coreProperties>
</file>