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E657" w14:textId="77777777" w:rsidR="00EB6224" w:rsidRDefault="00000000" w:rsidP="00DF09B8">
      <w:pPr>
        <w:pStyle w:val="Heading1"/>
        <w:jc w:val="center"/>
      </w:pPr>
      <w:bookmarkStart w:id="0" w:name="supplementary-material"/>
      <w:r>
        <w:rPr>
          <w:rFonts w:ascii="Times New Roman" w:hAnsi="Times New Roman"/>
        </w:rPr>
        <w:t>Supplementary Material</w:t>
      </w:r>
    </w:p>
    <w:p w14:paraId="001067EF" w14:textId="77777777" w:rsidR="00EB6224" w:rsidRDefault="00000000">
      <w:pPr>
        <w:pStyle w:val="Heading2"/>
      </w:pPr>
      <w:bookmarkStart w:id="1" w:name="supplementary-figure-legends"/>
      <w:r>
        <w:rPr>
          <w:rFonts w:ascii="Times New Roman" w:hAnsi="Times New Roman"/>
        </w:rPr>
        <w:t>Supplementary Figure Legends</w:t>
      </w:r>
    </w:p>
    <w:p w14:paraId="106FE483" w14:textId="77777777" w:rsidR="00EB6224" w:rsidRDefault="00000000">
      <w:pPr>
        <w:pStyle w:val="FirstParagraph"/>
      </w:pPr>
      <w:r>
        <w:rPr>
          <w:b/>
          <w:bCs/>
        </w:rPr>
        <w:t>Supplementary Figure 1. Pathway validation and actionability matrix.</w:t>
      </w:r>
      <w:r>
        <w:t xml:space="preserve"> Pathway modules scored across human evidence, mechanistic plausibility, genetics or omics support, clinical actionability, safety or feasibility, and public-health relevance.</w:t>
      </w:r>
    </w:p>
    <w:p w14:paraId="2F9E4145" w14:textId="77777777" w:rsidR="00EB6224" w:rsidRDefault="00000000">
      <w:pPr>
        <w:pStyle w:val="BodyText"/>
      </w:pPr>
      <w:r>
        <w:rPr>
          <w:b/>
          <w:bCs/>
        </w:rPr>
        <w:t>Supplementary Figure 2. Gene Ontology biological-process enrichment dotplot.</w:t>
      </w:r>
      <w:r>
        <w:t xml:space="preserve"> Enrichment of the top-ranked 500 genes from GSE72267.</w:t>
      </w:r>
    </w:p>
    <w:p w14:paraId="653AC6BB" w14:textId="77777777" w:rsidR="00EB6224" w:rsidRDefault="00000000">
      <w:pPr>
        <w:pStyle w:val="BodyText"/>
      </w:pPr>
      <w:r>
        <w:rPr>
          <w:b/>
          <w:bCs/>
        </w:rPr>
        <w:t>Supplementary Figure 3. Exploratory Reactome enrichment dotplot.</w:t>
      </w:r>
      <w:r>
        <w:t xml:space="preserve"> Reactome pathway enrichment of the top-ranked 500 genes from GSE72267; results are exploratory because adjusted p values did not remain below 0.05.</w:t>
      </w:r>
    </w:p>
    <w:p w14:paraId="1AE6D352" w14:textId="77777777" w:rsidR="00EB6224" w:rsidRDefault="00000000">
      <w:pPr>
        <w:pStyle w:val="BodyText"/>
      </w:pPr>
      <w:r>
        <w:rPr>
          <w:b/>
          <w:bCs/>
        </w:rPr>
        <w:t>Supplementary Figure 4. Evidence-aligned individual and public-health prevention measures.</w:t>
      </w:r>
      <w:r>
        <w:t xml:space="preserve"> Low-risk measures framed as risk-reduction and health-promotion actions rather than guaranteed prevention.</w:t>
      </w:r>
    </w:p>
    <w:p w14:paraId="2445AD09" w14:textId="77777777" w:rsidR="00EB6224" w:rsidRDefault="00000000">
      <w:pPr>
        <w:pStyle w:val="BodyText"/>
      </w:pPr>
      <w:r>
        <w:rPr>
          <w:b/>
          <w:bCs/>
        </w:rPr>
        <w:t>Supplementary Figure 5. Benchmark target ranking.</w:t>
      </w:r>
      <w:r>
        <w:t xml:space="preserve"> Downstream consensus ranking of validation-ready targets integrating pathway evidence, tractability, model relevance, and assayability.</w:t>
      </w:r>
    </w:p>
    <w:p w14:paraId="200BE73F" w14:textId="77777777" w:rsidR="00EB6224" w:rsidRDefault="00000000">
      <w:pPr>
        <w:pStyle w:val="BodyText"/>
      </w:pPr>
      <w:r>
        <w:rPr>
          <w:b/>
          <w:bCs/>
        </w:rPr>
        <w:t>Supplementary Figure 6. Benchmark evidence matrix.</w:t>
      </w:r>
      <w:r>
        <w:t xml:space="preserve"> Heat-map view of evidence and tractability components contributing to downstream target ranking.</w:t>
      </w:r>
    </w:p>
    <w:p w14:paraId="03B31F7A" w14:textId="77777777" w:rsidR="00EB6224" w:rsidRDefault="00000000">
      <w:pPr>
        <w:pStyle w:val="BodyText"/>
      </w:pPr>
      <w:r>
        <w:rPr>
          <w:b/>
          <w:bCs/>
        </w:rPr>
        <w:t>Supplementary Figure 7. Multi-dataset pathway recurrence.</w:t>
      </w:r>
      <w:r>
        <w:t xml:space="preserve"> Recurrent pathway signals across GSE72267, GSE7621, and GSE20163.</w:t>
      </w:r>
    </w:p>
    <w:p w14:paraId="09CB38A8" w14:textId="77777777" w:rsidR="00EB6224" w:rsidRDefault="00000000">
      <w:pPr>
        <w:pStyle w:val="BodyText"/>
      </w:pPr>
      <w:r>
        <w:rPr>
          <w:b/>
          <w:bCs/>
        </w:rPr>
        <w:t>Supplementary Figure 8. Benchmark knowledge graph.</w:t>
      </w:r>
      <w:r>
        <w:t xml:space="preserve"> Graph representation linking targets, pathways, compounds, model systems, and evidence categories.</w:t>
      </w:r>
    </w:p>
    <w:p w14:paraId="54493463" w14:textId="77777777" w:rsidR="00EB6224" w:rsidRDefault="00000000">
      <w:pPr>
        <w:pStyle w:val="Heading2"/>
      </w:pPr>
      <w:bookmarkStart w:id="2" w:name="supplementary-notes"/>
      <w:bookmarkEnd w:id="1"/>
      <w:r>
        <w:rPr>
          <w:rFonts w:ascii="Times New Roman" w:hAnsi="Times New Roman"/>
        </w:rPr>
        <w:t>Supplementary Notes</w:t>
      </w:r>
    </w:p>
    <w:p w14:paraId="176B8C04" w14:textId="77777777" w:rsidR="00EB6224" w:rsidRDefault="00000000">
      <w:pPr>
        <w:pStyle w:val="FirstParagraph"/>
      </w:pPr>
      <w:r>
        <w:t>The supplementary figures provide additional detail for readers interested in pathway scoring, exploratory enrichment, prevention framing, target benchmarking, and multi-dataset recurrence. They are intended to support, not replace, the main findings of the manuscript.</w:t>
      </w:r>
      <w:bookmarkEnd w:id="0"/>
      <w:bookmarkEnd w:id="2"/>
    </w:p>
    <w:sectPr w:rsidR="00EB6224">
      <w:footnotePr>
        <w:numRestart w:val="eachSect"/>
      </w:footnotePr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1"/>
    <w:family w:val="roman"/>
    <w:pitch w:val="variable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782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635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224"/>
    <w:rsid w:val="003C02BC"/>
    <w:rsid w:val="00DF09B8"/>
    <w:rsid w:val="00EB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5D81"/>
  <w15:docId w15:val="{CE46A2F4-A694-4310-944B-FBA1BE2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Siddalingaiah H S</cp:lastModifiedBy>
  <cp:revision>3</cp:revision>
  <dcterms:created xsi:type="dcterms:W3CDTF">2026-04-26T13:27:00Z</dcterms:created>
  <dcterms:modified xsi:type="dcterms:W3CDTF">2026-04-26T13:32:00Z</dcterms:modified>
</cp:coreProperties>
</file>