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upplementary-material"/>
    <w:p>
      <w:pPr>
        <w:pStyle w:val="Heading1"/>
      </w:pPr>
      <w:r>
        <w:rPr>
          <w:rFonts w:ascii="Times New Roman" w:hAnsi="Times New Roman"/>
          <w:sz w:val="24"/>
        </w:rPr>
        <w:t xml:space="preserve">Supplementary Material</w:t>
      </w:r>
    </w:p>
    <w:bookmarkStart w:id="9" w:name="supplementary-figure-legends"/>
    <w:p>
      <w:pPr>
        <w:pStyle w:val="Heading2"/>
      </w:pPr>
      <w:r>
        <w:rPr>
          <w:rFonts w:ascii="Times New Roman" w:hAnsi="Times New Roman"/>
          <w:sz w:val="24"/>
        </w:rPr>
        <w:t xml:space="preserve">Supplementary Figure Legends</w:t>
      </w:r>
    </w:p>
    <w:p>
      <w:pPr>
        <w:pStyle w:val="FirstParagraph"/>
      </w:pPr>
      <w:r>
        <w:rPr>
          <w:rFonts w:ascii="Times New Roman" w:hAnsi="Times New Roman"/>
          <w:b/>
          <w:bCs/>
          <w:sz w:val="24"/>
        </w:rPr>
        <w:t xml:space="preserve">Supplementary Figure 1. Final translational priority framework.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Weighted scores classifying candidates into high-priority, promising, and lower-confidence groups.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Supplementary Figure 2. Pathway validation and actionability matrix.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Pathway modules scored across human evidence, mechanistic plausibility, genetics or omics support, clinical actionability, safety or feasibility, and public-health relevance.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Supplementary Figure 3. Gene Ontology biological-process enrichment dotplot.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Enrichment of the top-ranked 500 genes from GSE72267.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Supplementary Figure 4. Exploratory Reactome enrichment dotplot.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Reactome pathway enrichment of the top-ranked 500 genes from GSE72267; results are exploratory because adjusted p values did not remain below 0.05.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Supplementary Figure 5. Evidence-aligned individual and public-health prevention measures.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Low-risk measures framed as risk-reduction and health-promotion actions rather than guaranteed prevention.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Supplementary Figure 6. Benchmark target ranking.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Downstream consensus ranking of validation-ready targets integrating pathway evidence, tractability, model relevance, and assayability.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Supplementary Figure 7. Benchmark evidence matrix.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Heat-map view of evidence and tractability components contributing to downstream target ranking.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Supplementary Figure 8. Multi-dataset pathway recurrence.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Recurrent pathway signals across GSE72267, GSE7621, and GSE20163.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Supplementary Figure 9. Benchmark knowledge graph.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Graph representation linking targets, pathways, compounds, model systems, and evidence categories.</w:t>
      </w:r>
    </w:p>
    <w:bookmarkEnd w:id="9"/>
    <w:bookmarkStart w:id="10" w:name="supplementary-notes"/>
    <w:p>
      <w:pPr>
        <w:pStyle w:val="Heading2"/>
      </w:pPr>
      <w:r>
        <w:rPr>
          <w:rFonts w:ascii="Times New Roman" w:hAnsi="Times New Roman"/>
          <w:sz w:val="24"/>
        </w:rPr>
        <w:t xml:space="preserve">Supplementary Notes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The supplementary figures provide additional detail for readers interested in pathway scoring, exploratory enrichment, prevention framing, target benchmarking, and multi-dataset recurrence. They are intended to support, not replace, the main findings of the manuscript.</w:t>
      </w:r>
    </w:p>
    <w:bookmarkEnd w:id="10"/>
    <w:bookmarkEnd w:id="11"/>
    <w:p>
      <w:r>
        <w:rPr>
          <w:rFonts w:ascii="Times New Roman" w:hAnsi="Times New Roman"/>
          <w:sz w:val="24"/>
        </w:rPr>
        <w:br w:type="page"/>
      </w:r>
    </w:p>
    <w:p>
      <w:pPr>
        <w:pStyle w:val="Heading1"/>
      </w:pPr>
      <w:r>
        <w:rPr>
          <w:rFonts w:ascii="Times New Roman" w:hAnsi="Times New Roman"/>
          <w:sz w:val="24"/>
        </w:rPr>
        <w:t>Embedded Supplementary Figures</w:t>
      </w:r>
    </w:p>
    <w:p>
      <w:r>
        <w:rPr>
          <w:rFonts w:ascii="Times New Roman" w:hAnsi="Times New Roman"/>
          <w:sz w:val="24"/>
        </w:rPr>
        <w:t>Supplementary Figure 1</w:t>
      </w:r>
    </w:p>
    <w:p>
      <w:r>
        <w:rPr>
          <w:rFonts w:ascii="Times New Roman" w:hAnsi="Times New Roman"/>
          <w:sz w:val="24"/>
        </w:rPr>
        <w:drawing>
          <wp:inline>
            <wp:extent cx="5943600" cy="30841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Figure1_translational_priority_frame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sz w:val="24"/>
        </w:rPr>
        <w:br w:type="page"/>
      </w:r>
    </w:p>
    <w:p>
      <w:r>
        <w:rPr>
          <w:rFonts w:ascii="Times New Roman" w:hAnsi="Times New Roman"/>
          <w:sz w:val="24"/>
        </w:rPr>
        <w:t>Supplementary Figure 2</w:t>
      </w:r>
    </w:p>
    <w:p>
      <w:r>
        <w:rPr>
          <w:rFonts w:ascii="Times New Roman" w:hAnsi="Times New Roman"/>
          <w:sz w:val="24"/>
        </w:rPr>
        <w:drawing>
          <wp:inline>
            <wp:extent cx="5943600" cy="40875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Figure2_pathway_actionability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sz w:val="24"/>
        </w:rPr>
        <w:br w:type="page"/>
      </w:r>
    </w:p>
    <w:p>
      <w:r>
        <w:rPr>
          <w:rFonts w:ascii="Times New Roman" w:hAnsi="Times New Roman"/>
          <w:sz w:val="24"/>
        </w:rPr>
        <w:t>Supplementary Figure 3</w:t>
      </w:r>
    </w:p>
    <w:p>
      <w:r>
        <w:rPr>
          <w:rFonts w:ascii="Times New Roman" w:hAnsi="Times New Roman"/>
          <w:sz w:val="24"/>
        </w:rPr>
        <w:drawing>
          <wp:inline>
            <wp:extent cx="5943600" cy="4245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Figure3_GO_enrich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sz w:val="24"/>
        </w:rPr>
        <w:br w:type="page"/>
      </w:r>
    </w:p>
    <w:p>
      <w:r>
        <w:rPr>
          <w:rFonts w:ascii="Times New Roman" w:hAnsi="Times New Roman"/>
          <w:sz w:val="24"/>
        </w:rPr>
        <w:t>Supplementary Figure 4</w:t>
      </w:r>
    </w:p>
    <w:p>
      <w:r>
        <w:rPr>
          <w:rFonts w:ascii="Times New Roman" w:hAnsi="Times New Roman"/>
          <w:sz w:val="24"/>
        </w:rPr>
        <w:drawing>
          <wp:inline>
            <wp:extent cx="5943600" cy="41346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Figure4_Reactome_enrich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4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sz w:val="24"/>
        </w:rPr>
        <w:br w:type="page"/>
      </w:r>
    </w:p>
    <w:p>
      <w:r>
        <w:rPr>
          <w:rFonts w:ascii="Times New Roman" w:hAnsi="Times New Roman"/>
          <w:sz w:val="24"/>
        </w:rPr>
        <w:t>Supplementary Figure 5</w:t>
      </w:r>
    </w:p>
    <w:p>
      <w:r>
        <w:rPr>
          <w:rFonts w:ascii="Times New Roman" w:hAnsi="Times New Roman"/>
          <w:sz w:val="24"/>
        </w:rPr>
        <w:drawing>
          <wp:inline>
            <wp:extent cx="5943600" cy="32375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Figure5_prevention_measu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sz w:val="24"/>
        </w:rPr>
        <w:br w:type="page"/>
      </w:r>
    </w:p>
    <w:p>
      <w:r>
        <w:rPr>
          <w:rFonts w:ascii="Times New Roman" w:hAnsi="Times New Roman"/>
          <w:sz w:val="24"/>
        </w:rPr>
        <w:t>Supplementary Figure 6</w:t>
      </w:r>
    </w:p>
    <w:p>
      <w:r>
        <w:rPr>
          <w:rFonts w:ascii="Times New Roman" w:hAnsi="Times New Roman"/>
          <w:sz w:val="24"/>
        </w:rPr>
        <w:drawing>
          <wp:inline>
            <wp:extent cx="5943600" cy="41363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Figure6_benchmark_target_rank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6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sz w:val="24"/>
        </w:rPr>
        <w:br w:type="page"/>
      </w:r>
    </w:p>
    <w:p>
      <w:r>
        <w:rPr>
          <w:rFonts w:ascii="Times New Roman" w:hAnsi="Times New Roman"/>
          <w:sz w:val="24"/>
        </w:rPr>
        <w:t>Supplementary Figure 7</w:t>
      </w:r>
    </w:p>
    <w:p>
      <w:r>
        <w:rPr>
          <w:rFonts w:ascii="Times New Roman" w:hAnsi="Times New Roman"/>
          <w:sz w:val="24"/>
        </w:rPr>
        <w:drawing>
          <wp:inline>
            <wp:extent cx="5943600" cy="48807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Figure7_benchmark_evidence_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0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sz w:val="24"/>
        </w:rPr>
        <w:br w:type="page"/>
      </w:r>
    </w:p>
    <w:p>
      <w:r>
        <w:rPr>
          <w:rFonts w:ascii="Times New Roman" w:hAnsi="Times New Roman"/>
          <w:sz w:val="24"/>
        </w:rPr>
        <w:t>Supplementary Figure 8</w:t>
      </w:r>
    </w:p>
    <w:p>
      <w:r>
        <w:rPr>
          <w:rFonts w:ascii="Times New Roman" w:hAnsi="Times New Roman"/>
          <w:sz w:val="24"/>
        </w:rPr>
        <w:drawing>
          <wp:inline>
            <wp:extent cx="5943600" cy="40524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Figure8_multi_dataset_pathway_recurr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sz w:val="24"/>
        </w:rPr>
        <w:br w:type="page"/>
      </w:r>
    </w:p>
    <w:p>
      <w:r>
        <w:rPr>
          <w:rFonts w:ascii="Times New Roman" w:hAnsi="Times New Roman"/>
          <w:sz w:val="24"/>
        </w:rPr>
        <w:t>Supplementary Figure 9</w:t>
      </w:r>
    </w:p>
    <w:p>
      <w:r>
        <w:rPr>
          <w:rFonts w:ascii="Times New Roman" w:hAnsi="Times New Roman"/>
          <w:sz w:val="24"/>
        </w:rPr>
        <w:drawing>
          <wp:inline>
            <wp:extent cx="5943600" cy="44483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Figure9_benchmark_knowledge_grap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36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footerReference w:type="default" r:id="rId9"/>
      <w:footnotePr>
        <w:numRestart w:val="eachSect"/>
      </w:footnotePr>
      <w:pgSz w:w="11909" w:h="16834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/>
      <w:b/>
      <w:sz w:val="2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/>
      <w:b/>
      <w:color w:themeColor="accent1" w:themeShade="BF" w:val="0F4761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2026-04-26T13:42:59Z</dcterms:created>
  <dcterms:modified xsi:type="dcterms:W3CDTF">2026-04-26T13:42:59Z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