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s"/>
    <w:p>
      <w:pPr>
        <w:pStyle w:val="Heading1"/>
      </w:pPr>
      <w:r>
        <w:rPr>
          <w:rFonts w:ascii="Times New Roman" w:hAnsi="Times New Roman"/>
          <w:sz w:val="24"/>
        </w:rPr>
        <w:t xml:space="preserve">Declarations</w:t>
      </w:r>
    </w:p>
    <w:p>
      <w:pPr>
        <w:pStyle w:val="FirstParagraph"/>
      </w:pPr>
      <w:r>
        <w:rPr>
          <w:rFonts w:ascii="Times New Roman" w:hAnsi="Times New Roman"/>
          <w:b/>
          <w:bCs/>
          <w:sz w:val="24"/>
        </w:rPr>
        <w:t xml:space="preserve">Author details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Author: Siddalingaiah H 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Designation: Professor, Community Medicine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Institution: Shridevi Institute of Medical Sciences and Research Hospital, Tumkur, Karnataka, India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Email: hssling@yahoo.com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Telephone: 8941087719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ORCID: 0000-0002-4771-8285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Authorship declaration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I certify that I have participated sufficiently in the conception, design, interpretation, and writing of this work to take public responsibility for it. I approve the submitted version of the manuscript and agree to its submission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The National Medical Journal of India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Originality declaration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This manuscript is original, has not been published previously in full, and is not under consideration elsewhere to the best of my knowledge.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Competing interests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No competing interests are declared.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Funding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No external funding is declared.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Ethics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This study used public literature, public trial metadata, and de-identified public transcriptomic datasets. No new human participants were recruited and no identifiable patient information was collected for this analysis.</w:t>
      </w:r>
    </w:p>
    <w:p>
      <w:pPr>
        <w:pStyle w:val="BodyText"/>
      </w:pPr>
      <w:r>
        <w:rPr>
          <w:rFonts w:ascii="Times New Roman" w:hAnsi="Times New Roman"/>
          <w:b/>
          <w:bCs/>
          <w:sz w:val="24"/>
        </w:rPr>
        <w:t xml:space="preserve">Artificial intelligence disclosure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Artificial intelligence-assisted tools were used within the evidence-mapping, prioritisation, and drafting workflow. All extracted evidence, analysis outputs, interpretations, and manuscript text were reviewed and approved by the author.</w:t>
      </w:r>
    </w:p>
    <w:bookmarkEnd w:id="9"/>
    <w:sectPr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2026-04-26T13:27:54Z</dcterms:created>
  <dcterms:modified xsi:type="dcterms:W3CDTF">2026-04-26T13:27:54Z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