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ouble-blind-peer-review-audit"/>
    <w:p>
      <w:pPr>
        <w:pStyle w:val="Heading1"/>
      </w:pPr>
      <w:r>
        <w:rPr>
          <w:rFonts w:ascii="Times New Roman" w:hAnsi="Times New Roman"/>
          <w:sz w:val="24"/>
        </w:rPr>
        <w:t xml:space="preserve">Double-blind Peer-review Audit</w:t>
      </w:r>
    </w:p>
    <w:bookmarkStart w:id="9" w:name="Xb0e36b1adc17db5bbd297076947d4ee74d7385e"/>
    <w:p>
      <w:pPr>
        <w:pStyle w:val="Heading2"/>
      </w:pPr>
      <w:r>
        <w:rPr>
          <w:rFonts w:ascii="Times New Roman" w:hAnsi="Times New Roman"/>
          <w:sz w:val="24"/>
        </w:rPr>
        <w:t xml:space="preserve">Reviewer 1: Clinical and public-health relevance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original version relied heavily on figures and did not give readers a compact numerical summary of prioritised interventions.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Added Table 1 to the main manuscript, moved the fifth main figure to supplementary material, and kept the NMJI display-item count at five.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manuscript could be read as implying clinical use of investigational or repurposed drugs.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Repeatedly framed pharmacological candidates as requiring confirmatory trials and clarified that prioritisation scores are research and policy metrics, not clinical recommendations.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Minor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Indian relevance needed to be explicit.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Preserved India-facing interpretation in the Introduction, Methods and Discussion, including pesticide safety, occupational/rural exposure, primary care, non-communicable disease clinics, head-injury prevention and air quality.</w:t>
      </w:r>
    </w:p>
    <w:bookmarkEnd w:id="9"/>
    <w:bookmarkStart w:id="10" w:name="X9c96efd31d84aff693fc5949a7b39541aa43bd3"/>
    <w:p>
      <w:pPr>
        <w:pStyle w:val="Heading2"/>
      </w:pPr>
      <w:r>
        <w:rPr>
          <w:rFonts w:ascii="Times New Roman" w:hAnsi="Times New Roman"/>
          <w:sz w:val="24"/>
        </w:rPr>
        <w:t xml:space="preserve">Reviewer 2: Methods, reproducibility and reporting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Reference numbers were visually present but not true superscripts in the Word file.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Added a Word-level superscript formatting pass for in-text citation runs and title-page affiliation markers.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Supplementary figures were listed but not embedded in the supplementary Word file.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Rebuilt the supplementary Word file with each supplementary figure embedded below its legend.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Major concern: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Methods needed clearer outputs and software details.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Action taken: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Added primary outputs and analysis-environment details, including R 4.5.3, GEOquery, limma, clusterProfiler and ReactomePA.</w:t>
      </w:r>
    </w:p>
    <w:bookmarkEnd w:id="10"/>
    <w:bookmarkStart w:id="11" w:name="residual-risks-before-upload"/>
    <w:p>
      <w:pPr>
        <w:pStyle w:val="Heading2"/>
      </w:pPr>
      <w:r>
        <w:rPr>
          <w:rFonts w:ascii="Times New Roman" w:hAnsi="Times New Roman"/>
          <w:sz w:val="24"/>
        </w:rPr>
        <w:t xml:space="preserve">Residual risks before upload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sz w:val="24"/>
        </w:rPr>
        <w:t xml:space="preserve">The article remains an evidence-to-discovery study rather than a registered systematic review; this limitation is stated in the Discussion.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sz w:val="24"/>
        </w:rPr>
        <w:t xml:space="preserve">Public dataset and repository availability statements should be checked against the author’s preferred disclosure wording before final upload.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sz w:val="24"/>
        </w:rPr>
        <w:t xml:space="preserve">NMJI may request separate high-resolution figure uploads even though the supplementary Word file now embeds figures.</w:t>
      </w:r>
    </w:p>
    <w:bookmarkEnd w:id="11"/>
    <w:bookmarkEnd w:id="12"/>
    <w:sectPr>
      <w:footerReference w:type="default" r:id="rId9"/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2026-04-26T13:42:59Z</dcterms:created>
  <dcterms:modified xsi:type="dcterms:W3CDTF">2026-04-26T13:42:59Z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