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upplementary-material"/>
    <w:p>
      <w:pPr>
        <w:pStyle w:val="Heading1"/>
        <w:keepNext w:val="0"/>
        <w:keepLines w:val="0"/>
        <w:widowControl/>
        <w:spacing w:before="0" w:after="0" w:line="276" w:lineRule="auto"/>
        <w:jc w:val="center"/>
      </w:pPr>
      <w:r>
        <w:rPr>
          <w:rFonts w:ascii="Times New Roman" w:hAnsi="Times New Roman"/>
          <w:b/>
          <w:sz w:val="28"/>
        </w:rPr>
        <w:t xml:space="preserve">Supplementary Material</w:t>
      </w:r>
    </w:p>
    <w:bookmarkStart w:id="9" w:name="supplementary-figure-legends"/>
    <w:p>
      <w:pPr>
        <w:pStyle w:val="Heading2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sz w:val="24"/>
        </w:rPr>
        <w:t xml:space="preserve">Supplementary Figure Legends</w:t>
      </w:r>
    </w:p>
    <w:p>
      <w:pPr>
        <w:pStyle w:val="FirstParagraph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bCs/>
          <w:sz w:val="24"/>
        </w:rPr>
        <w:t xml:space="preserve">Supplementary Figure 1. Final translational priority framework.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Weighted scores classifying candidates into high-priority, promising, and lower-confidence groups.</w:t>
      </w:r>
    </w:p>
    <w:p>
      <w:pPr>
        <w:pStyle w:val="BodyText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bCs/>
          <w:sz w:val="24"/>
        </w:rPr>
        <w:t xml:space="preserve">Supplementary Figure 2. Pathway validation and actionability matrix.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Pathway modules scored across human evidence, mechanistic plausibility, genetics or omics support, clinical actionability, safety or feasibility, and public-health relevance.</w:t>
      </w:r>
    </w:p>
    <w:p>
      <w:pPr>
        <w:pStyle w:val="BodyText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bCs/>
          <w:sz w:val="24"/>
        </w:rPr>
        <w:t xml:space="preserve">Supplementary Figure 3. Gene Ontology biological-process enrichment dotplot.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Enrichment of the top-ranked 500 genes from GSE72267.</w:t>
      </w:r>
    </w:p>
    <w:p>
      <w:pPr>
        <w:pStyle w:val="BodyText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bCs/>
          <w:sz w:val="24"/>
        </w:rPr>
        <w:t xml:space="preserve">Supplementary Figure 4. Exploratory Reactome enrichment dotplot.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Reactome pathway enrichment of the top-ranked 500 genes from GSE72267; results are exploratory because adjusted p values did not remain below 0.05.</w:t>
      </w:r>
    </w:p>
    <w:p>
      <w:pPr>
        <w:pStyle w:val="BodyText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bCs/>
          <w:sz w:val="24"/>
        </w:rPr>
        <w:t xml:space="preserve">Supplementary Figure 5. Evidence-aligned individual and public-health prevention measures.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Low-risk measures framed as risk-reduction and health-promotion actions rather than guaranteed prevention.</w:t>
      </w:r>
    </w:p>
    <w:p>
      <w:pPr>
        <w:pStyle w:val="BodyText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bCs/>
          <w:sz w:val="24"/>
        </w:rPr>
        <w:t xml:space="preserve">Supplementary Figure 6. Benchmark target ranking.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Downstream consensus ranking of validation-ready targets integrating pathway evidence, tractability, model relevance, and assayability.</w:t>
      </w:r>
    </w:p>
    <w:p>
      <w:pPr>
        <w:pStyle w:val="BodyText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bCs/>
          <w:sz w:val="24"/>
        </w:rPr>
        <w:t xml:space="preserve">Supplementary Figure 7. Benchmark evidence matrix.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Heat-map view of evidence and tractability components contributing to downstream target ranking.</w:t>
      </w:r>
    </w:p>
    <w:p>
      <w:pPr>
        <w:pStyle w:val="BodyText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bCs/>
          <w:sz w:val="24"/>
        </w:rPr>
        <w:t xml:space="preserve">Supplementary Figure 8. Multi-dataset pathway recurrence.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Recurrent pathway signals across GSE72267, GSE7621, and GSE20163.</w:t>
      </w:r>
    </w:p>
    <w:p>
      <w:pPr>
        <w:pStyle w:val="BodyText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bCs/>
          <w:sz w:val="24"/>
        </w:rPr>
        <w:t xml:space="preserve">Supplementary Figure 9. Benchmark knowledge graph.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Graph representation linking targets, pathways, compounds, model systems, and evidence categories.</w:t>
      </w:r>
    </w:p>
    <w:bookmarkEnd w:id="9"/>
    <w:bookmarkStart w:id="10" w:name="supplementary-notes"/>
    <w:p>
      <w:pPr>
        <w:pStyle w:val="Heading2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sz w:val="24"/>
        </w:rPr>
        <w:t xml:space="preserve">Supplementary Notes</w:t>
      </w:r>
    </w:p>
    <w:p>
      <w:pPr>
        <w:pStyle w:val="FirstParagraph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t xml:space="preserve">The supplementary figures provide additional detail for readers interested in pathway scoring, exploratory enrichment, prevention framing, target benchmarking, and multi-dataset recurrence. They are intended to support, not replace, the main findings of the manuscript.</w:t>
      </w:r>
    </w:p>
    <w:bookmarkEnd w:id="10"/>
    <w:bookmarkEnd w:id="11"/>
    <w:p>
      <w:pPr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sz w:val="24"/>
        </w:rPr>
        <w:t>Embedded Supplementary Figures</w:t>
      </w:r>
    </w:p>
    <w:p>
      <w:pPr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t>Supplementary Figure 1</w:t>
      </w:r>
    </w:p>
    <w:p>
      <w:pPr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drawing>
          <wp:inline>
            <wp:extent cx="5943600" cy="30841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Figure1_translational_priority_frame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br w:type="page"/>
      </w:r>
    </w:p>
    <w:p>
      <w:pPr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t>Supplementary Figure 2</w:t>
      </w:r>
    </w:p>
    <w:p>
      <w:pPr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drawing>
          <wp:inline>
            <wp:extent cx="5943600" cy="40875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Figure2_pathway_actionability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7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br w:type="page"/>
      </w:r>
    </w:p>
    <w:p>
      <w:pPr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t>Supplementary Figure 3</w:t>
      </w:r>
    </w:p>
    <w:p>
      <w:pPr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drawing>
          <wp:inline>
            <wp:extent cx="5943600" cy="4245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Figure3_GO_enrich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br w:type="page"/>
      </w:r>
    </w:p>
    <w:p>
      <w:pPr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t>Supplementary Figure 4</w:t>
      </w:r>
    </w:p>
    <w:p>
      <w:pPr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drawing>
          <wp:inline>
            <wp:extent cx="5943600" cy="41346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Figure4_Reactome_enrich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4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br w:type="page"/>
      </w:r>
    </w:p>
    <w:p>
      <w:pPr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t>Supplementary Figure 5</w:t>
      </w:r>
    </w:p>
    <w:p>
      <w:pPr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drawing>
          <wp:inline>
            <wp:extent cx="5943600" cy="32375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Figure5_prevention_measu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br w:type="page"/>
      </w:r>
    </w:p>
    <w:p>
      <w:pPr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t>Supplementary Figure 6</w:t>
      </w:r>
    </w:p>
    <w:p>
      <w:pPr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drawing>
          <wp:inline>
            <wp:extent cx="5943600" cy="41363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Figure6_benchmark_target_rank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6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br w:type="page"/>
      </w:r>
    </w:p>
    <w:p>
      <w:pPr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t>Supplementary Figure 7</w:t>
      </w:r>
    </w:p>
    <w:p>
      <w:pPr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drawing>
          <wp:inline>
            <wp:extent cx="5943600" cy="48807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Figure7_benchmark_evidence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0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br w:type="page"/>
      </w:r>
    </w:p>
    <w:p>
      <w:pPr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t>Supplementary Figure 8</w:t>
      </w:r>
    </w:p>
    <w:p>
      <w:pPr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drawing>
          <wp:inline>
            <wp:extent cx="5943600" cy="40524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Figure8_multi_dataset_pathway_recurr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2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br w:type="page"/>
      </w:r>
    </w:p>
    <w:p>
      <w:pPr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t>Supplementary Figure 9</w:t>
      </w:r>
    </w:p>
    <w:p>
      <w:pPr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drawing>
          <wp:inline>
            <wp:extent cx="5943600" cy="44483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Figure9_benchmark_knowledge_grap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364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footerReference w:type="default" r:id="rId18"/>
      <w:footnotePr>
        <w:numRestart w:val="eachSect"/>
      </w:footnotePr>
      <w:pgSz w:w="11909" w:h="16834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2026-04-26T14:07:47Z</dcterms:created>
  <dcterms:modified xsi:type="dcterms:W3CDTF">2026-04-26T14:07:47Z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