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ouble-blind-peer-review-audit"/>
    <w:p>
      <w:pPr>
        <w:pStyle w:val="Heading1"/>
        <w:keepNext w:val="0"/>
        <w:keepLines w:val="0"/>
        <w:widowControl/>
        <w:spacing w:before="0" w:after="0" w:line="276" w:lineRule="auto"/>
        <w:jc w:val="center"/>
      </w:pPr>
      <w:r>
        <w:rPr>
          <w:rFonts w:ascii="Times New Roman" w:hAnsi="Times New Roman"/>
          <w:b/>
          <w:sz w:val="28"/>
        </w:rPr>
        <w:t xml:space="preserve">Double-blind Peer-review Audit</w:t>
      </w:r>
    </w:p>
    <w:bookmarkStart w:id="9" w:name="Xb0e36b1adc17db5bbd297076947d4ee74d7385e"/>
    <w:p>
      <w:pPr>
        <w:pStyle w:val="Heading2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sz w:val="24"/>
        </w:rPr>
        <w:t xml:space="preserve">Reviewer 1: Clinical and public-health relevance</w:t>
      </w:r>
    </w:p>
    <w:p>
      <w:pPr>
        <w:pStyle w:val="FirstParagraph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original version relied heavily on figures and did not give readers a compact numerical summary of prioritised interventions.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Added Table 1 to the main manuscript, moved the fifth main figure to supplementary material, and kept the NMJI display-item count at five.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manuscript could be read as implying clinical use of investigational or repurposed drugs.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Repeatedly framed pharmacological candidates as requiring confirmatory trials and clarified that prioritisation scores are research and policy metrics, not clinical recommendations.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Minor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Indian relevance needed to be explicit.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Preserved India-facing interpretation in the Introduction, Methods and Discussion, including pesticide safety, occupational/rural exposure, primary care, non-communicable disease clinics, head-injury prevention and air quality.</w:t>
      </w:r>
    </w:p>
    <w:bookmarkEnd w:id="9"/>
    <w:bookmarkStart w:id="10" w:name="X9c96efd31d84aff693fc5949a7b39541aa43bd3"/>
    <w:p>
      <w:pPr>
        <w:pStyle w:val="Heading2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sz w:val="24"/>
        </w:rPr>
        <w:t xml:space="preserve">Reviewer 2: Methods, reproducibility and reporting</w:t>
      </w:r>
    </w:p>
    <w:p>
      <w:pPr>
        <w:pStyle w:val="FirstParagraph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Reference numbers were visually present but not true superscripts in the Word file.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Added a Word-level superscript formatting pass for in-text citation runs and title-page affiliation markers.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Supplementary figures were listed but not embedded in the supplementary Word file.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Rebuilt the supplementary Word file with each supplementary figure embedded below its legend.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Methods needed clearer outputs and software details.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Added primary outputs and analysis-environment details, including R 4.5.3, GEOquery, limma, clusterProfiler and ReactomePA.</w:t>
      </w:r>
    </w:p>
    <w:bookmarkEnd w:id="10"/>
    <w:bookmarkStart w:id="11" w:name="residual-risks-before-upload"/>
    <w:p>
      <w:pPr>
        <w:pStyle w:val="Heading2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sz w:val="24"/>
        </w:rPr>
        <w:t xml:space="preserve">Residual risks before upload</w:t>
      </w:r>
    </w:p>
    <w:p>
      <w:pPr>
        <w:pStyle w:val="Compact"/>
        <w:keepNext w:val="0"/>
        <w:keepLines w:val="0"/>
        <w:widowControl/>
        <w:numPr>
          <w:ilvl w:val="0"/>
          <w:numId w:val="1001"/>
        </w:numPr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The article remains an evidence-to-discovery study rather than a registered systematic review; this limitation is stated in the Discussion.</w:t>
      </w:r>
    </w:p>
    <w:p>
      <w:pPr>
        <w:pStyle w:val="Compact"/>
        <w:keepNext w:val="0"/>
        <w:keepLines w:val="0"/>
        <w:widowControl/>
        <w:numPr>
          <w:ilvl w:val="0"/>
          <w:numId w:val="1001"/>
        </w:numPr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Public dataset and repository availability statements should be checked against the author’s preferred disclosure wording before final upload.</w:t>
      </w:r>
    </w:p>
    <w:p>
      <w:pPr>
        <w:pStyle w:val="Compact"/>
        <w:keepNext w:val="0"/>
        <w:keepLines w:val="0"/>
        <w:widowControl/>
        <w:numPr>
          <w:ilvl w:val="0"/>
          <w:numId w:val="1001"/>
        </w:numPr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NMJI may request separate high-resolution figure uploads even though the supplementary Word file now embeds figures.</w:t>
      </w:r>
    </w:p>
    <w:bookmarkEnd w:id="11"/>
    <w:bookmarkEnd w:id="12"/>
    <w:sectPr>
      <w:footerReference w:type="default" r:id="rId9"/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2026-04-26T14:07:48Z</dcterms:created>
  <dcterms:modified xsi:type="dcterms:W3CDTF">2026-04-26T14:07:48Z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