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File</w:t>
      </w:r>
    </w:p>
    <w:p>
      <w:pPr>
        <w:pStyle w:val="Heading1"/>
      </w:pPr>
      <w:r>
        <w:t>Supplementary Methods</w:t>
      </w:r>
    </w:p>
    <w:p>
      <w:r>
        <w:t>This supplement describes the AI-assisted evidence mapping, priority scoring, GSE72267 limma analysis, GO/Reactome enrichment, drug-repurposing prioritisation, and India/public-health framework.</w:t>
      </w:r>
    </w:p>
    <w:p>
      <w:pPr>
        <w:pStyle w:val="Heading1"/>
      </w:pPr>
      <w:r>
        <w:t>Pathway-To-Intervention Framework</w:t>
      </w:r>
    </w:p>
    <w:p>
      <w:pPr>
        <w:pStyle w:val="ListBullet"/>
      </w:pPr>
      <w:r>
        <w:t>Environmental toxicant and exposure-response biology: reduce exposure before neuronal injury accumulates. Candidate actions: occupational PPE, safer handling/storage, substitution, rural exposure surveillance, policy enforcement. Caution: observational and mechanistic support; not an individually guaranteed prevention method</w:t>
      </w:r>
    </w:p>
    <w:p>
      <w:pPr>
        <w:pStyle w:val="ListBullet"/>
      </w:pPr>
      <w:r>
        <w:t>Exercise-responsive metabolic, inflammatory, and neuroplastic reserve: increase physiological resilience and reduce metabolic/inflammatory stress. Candidate actions: regular aerobic activity, resistance training, balance training, physiotherapist-guided programs. Caution: strong general and PD-management rationale; definitive primary-prevention RCT evidence is unavailable</w:t>
      </w:r>
    </w:p>
    <w:p>
      <w:pPr>
        <w:pStyle w:val="ListBullet"/>
      </w:pPr>
      <w:r>
        <w:t>Metabolic and GLP-1 receptor signalling: metabolic-neuroimmune modulation. Candidate actions: lixisenatide, exenatide, semaglutide-class hypotheses, diabetes/metabolic-risk management. Caution: do not recommend GLP-1 drugs for PD prevention outside approved indications or trials</w:t>
      </w:r>
    </w:p>
    <w:p>
      <w:pPr>
        <w:pStyle w:val="ListBullet"/>
      </w:pPr>
      <w:r>
        <w:t>Innate immune and inflammatory signalling: modulate chronic innate immune activation. Candidate actions: exposure reduction, exercise/metabolic health, investigational anti-inflammatory strategies. Caution: Reactome FDR around 0.14; not confirmatory</w:t>
      </w:r>
    </w:p>
    <w:p>
      <w:pPr>
        <w:pStyle w:val="ListBullet"/>
      </w:pPr>
      <w:r>
        <w:t>LRRK2 kinase and lysosomal stress: reduce genetically or pathway-driven kinase dysregulation. Candidate actions: LRRK2 inhibitors such as BIIB122/DNL151-class agents. Caution: investigational; likely most relevant to genetically enriched populations</w:t>
      </w:r>
    </w:p>
    <w:p>
      <w:pPr>
        <w:pStyle w:val="ListBullet"/>
      </w:pPr>
      <w:r>
        <w:t>GBA1, lysosome, and autophagy: improve lysosomal degradation and proteostasis. Candidate actions: ambroxol/GCase modulators, lysosomal/autophagy modulators. Caution: clinical efficacy and optimal patient selection remain unresolved</w:t>
      </w:r>
    </w:p>
    <w:p>
      <w:pPr>
        <w:pStyle w:val="ListBullet"/>
      </w:pPr>
      <w:r>
        <w:t>Alpha-synuclein propagation and aggregation: reduce pathogenic alpha-synuclein species or spread. Candidate actions: alpha-synuclein antibodies, vaccines, aggregation/spread inhibitors. Caution: current antibody evidence does not justify clinical use</w:t>
      </w:r>
    </w:p>
    <w:p>
      <w:pPr>
        <w:pStyle w:val="Heading1"/>
      </w:pPr>
      <w:r>
        <w:t>Reproducibility</w:t>
      </w:r>
    </w:p>
    <w:p>
      <w:r>
        <w:t>Key source files are in data/processed, data/omics, data/drug_repurposing, scripts, and reproducibility. ReactomePA/reactome.db were installed and used for exploratory Reactome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