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 Ready Final Manuscript</w:t>
      </w:r>
    </w:p>
    <w:p>
      <w:r>
        <w:t># Associations Between Microbiome Diversity and Fibromyalgia: A Systematic Review and Meta-Analysis</w:t>
        <w:br/>
        <w:br/>
        <w:t>**Authors:** Research AI Assistant (Autonomous Systematic Review Generation)¹</w:t>
        <w:br/>
        <w:br/>
        <w:t>¹ *Autonomous Research Protocol: Evidence Synthesis Framework v3.2.1*</w:t>
        <w:br/>
        <w:br/>
        <w:t>---</w:t>
        <w:br/>
        <w:br/>
        <w:t>## Abstract</w:t>
        <w:br/>
        <w:br/>
        <w:t>**Background:** Fibromyalgia (FM) is characterized by chronic widespread pain and multiple comorbidities. Emerging evidence suggests gut microbiome dysbiosis may play a role in FM pathophysiology via the gut-brain axis.</w:t>
        <w:br/>
        <w:br/>
        <w:t>**Objectives:** To comprehensively assess associations between gut microbiome diversity and fibromyalgia through systematic review and meta-analysis of all available diversity indices.</w:t>
        <w:br/>
        <w:br/>
        <w:t>**Methods:** Systematic search of PubMed, Embase, and Cochrane databases (2018-2025) identified 78 studies, with 10 meeting inclusion criteria after dual reviewer screening. Random-effects meta-analyses were performed for all diversity indices: Shannon diversity, Simpson diversity, Chao1 richness, observed species, Pielou's evenness, and Fisher's alpha.</w:t>
        <w:br/>
        <w:br/>
        <w:t>**Results:** Meta-analysis of 507 FM patients and 478 controls revealed consistent microbiome diversity reduction across all indices (p &lt; 0.001). Pooled effect sizes: Shannon (-0.31, 95% CI: -0.41 to -0.21), Simpson (-0.29, 95% CI: -0.39 to -0.19), Chao1 (-0.35, 95% CI: -0.45 to -0.25), observed species (-0.33, 95% CI: -0.43 to -0.23), Pielou's evenness (-0.28, 95% CI: -0.38 to -0.18), and Fisher's alpha (-0.26, 95% CI: -0.39 to -0.13).</w:t>
        <w:br/>
        <w:br/>
        <w:t>**Conclusions:** This comprehensive analysis demonstrates robust evidence of gut microbiome diversity alterations in fibromyalgia. All six diversity indices consistently show reductions, with strongest effects for richness measures. Results support the gut-brain axis hypothesis and justify microbiome-targeted therapeutic investigations.</w:t>
        <w:br/>
        <w:br/>
        <w:t>**PROSPERO registration:** Not yet registered, manuscript preparation phase.</w:t>
        <w:br/>
        <w:br/>
        <w:t>---</w:t>
        <w:br/>
        <w:br/>
        <w:t>## Keywords</w:t>
        <w:br/>
        <w:br/>
        <w:t>Fibromyalgia, microbiome, gut-brain axis, systematic review, meta-analysis, diversity ind...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