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Meta-Synthesis of Cardiovascular Risk After COVID-19 in Young Adults: Evidence from Existing Reviews</w:t>
      </w:r>
    </w:p>
    <w:p>
      <w:pPr>
        <w:pStyle w:val="Date"/>
      </w:pPr>
      <w:r>
        <w:t xml:space="preserve">September 21, 2025</w:t>
      </w:r>
    </w:p>
    <w:p>
      <w:pPr>
        <w:pStyle w:val="AbstractTitle"/>
      </w:pPr>
      <w:r>
        <w:t xml:space="preserve">Abstract</w:t>
      </w:r>
    </w:p>
    <w:p>
      <w:pPr>
        <w:pStyle w:val="Abstract"/>
      </w:pPr>
      <w:r>
        <w:rPr>
          <w:b/>
          <w:bCs/>
        </w:rPr>
        <w:t xml:space="preserve">Background:</w:t>
      </w:r>
      <w:r>
        <w:t xml:space="preserve"> </w:t>
      </w:r>
      <w:r>
        <w:t xml:space="preserve">While cardiovascular complications following COVID-19 have been well-studied in elderly patients, evidence regarding young adults remains limited and controversial. We conducted a meta-synthesis of existing systematic reviews examining cardiovascular risk after COVID-19 in young adults (&lt;40 years).</w:t>
      </w:r>
    </w:p>
    <w:p>
      <w:pPr>
        <w:pStyle w:val="Abstract"/>
      </w:pPr>
      <w:r>
        <w:rPr>
          <w:b/>
          <w:bCs/>
        </w:rPr>
        <w:t xml:space="preserve">Methods:</w:t>
      </w:r>
      <w:r>
        <w:t xml:space="preserve"> </w:t>
      </w:r>
      <w:r>
        <w:t xml:space="preserve">Systematic meta-synthesis of reviews (2020-2025) examining cardiovascular outcomes after COVID-19 in young adults. Eligible reviews included observational studies and RCTs with adequate methodological quality. Outcomes included cardiovascular diagnoses, vascular function measures, and physiological markers. Evidence quality was assessed using GRADE framework.</w:t>
      </w:r>
    </w:p>
    <w:p>
      <w:pPr>
        <w:pStyle w:val="Abstract"/>
      </w:pPr>
      <w:r>
        <w:rPr>
          <w:b/>
          <w:bCs/>
        </w:rPr>
        <w:t xml:space="preserve">Results:</w:t>
      </w:r>
      <w:r>
        <w:t xml:space="preserve"> </w:t>
      </w:r>
      <w:r>
        <w:t xml:space="preserve">Review of 28 systematic reviews and meta-analyses encompassing 95 primary studies (representing &gt;1.2 million participants) revealed inconclusive evidence for elevated cardiovascular risk in young adults after COVID-19. Limited evidence supported mild endothelial dysfunction and arterial stiffness persisting up to 18 months (pooled SMD 0.42, 95% CI 0.18-0.66 across 12 reviews), but no compelling evidence for increased rates of heart failure, arrhythmias, or thrombotic events. GRADE certainty ranged from very low to low across major outcomes, primarily due to methodological limitations and potential selection bias.</w:t>
      </w:r>
    </w:p>
    <w:p>
      <w:pPr>
        <w:pStyle w:val="Abstract"/>
      </w:pPr>
      <w:r>
        <w:rPr>
          <w:b/>
          <w:bCs/>
        </w:rPr>
        <w:t xml:space="preserve">Conclusions:</w:t>
      </w:r>
      <w:r>
        <w:t xml:space="preserve"> </w:t>
      </w:r>
      <w:r>
        <w:t xml:space="preserve">Current evidence does not support widespread cardiovascular risk after COVID-19 in young adults. While some subtle vascular changes may persist, there is insufficient evidence for clinical concern in this demographic. Resource allocation should prioritize evidence-based interventions rather than unsubstantiated surveillance programs.</w:t>
      </w:r>
    </w:p>
    <w:bookmarkStart w:id="9" w:name="introduction"/>
    <w:p>
      <w:pPr>
        <w:pStyle w:val="Heading1"/>
      </w:pPr>
      <w:r>
        <w:t xml:space="preserve">Introduction</w:t>
      </w:r>
    </w:p>
    <w:p>
      <w:pPr>
        <w:pStyle w:val="FirstParagraph"/>
      </w:pPr>
      <w:r>
        <w:t xml:space="preserve">Severe acute respiratory syndrome coronavirus 2 (SARS-CoV-2) infection, causing COVID-19, has resulted in over 700 million confirmed cases globally since 2019.</w:t>
      </w:r>
      <w:r>
        <w:t xml:space="preserve">[@WHO2024]</w:t>
      </w:r>
      <w:r>
        <w:t xml:space="preserve"> </w:t>
      </w:r>
      <w:r>
        <w:t xml:space="preserve">While initial clinical attention focused on respiratory complications and acute cardiovascular events in elderly patients, emerging evidence suggests that young adults (&lt;40 years) may also face elevated risk for long-term cardiovascular complications.</w:t>
      </w:r>
      <w:r>
        <w:t xml:space="preserve">[@WHO2024; @CDC2023]</w:t>
      </w:r>
    </w:p>
    <w:p>
      <w:pPr>
        <w:pStyle w:val="BodyText"/>
      </w:pPr>
      <w:r>
        <w:t xml:space="preserve">Cardiovascular complications associated with COVID-19 include myocarditis, cardiac arrhythmias, heart failure, and thromboembolic events.</w:t>
      </w:r>
      <w:r>
        <w:t xml:space="preserve">[@Shi2020; @Guo2020]</w:t>
      </w:r>
      <w:r>
        <w:t xml:space="preserve"> </w:t>
      </w:r>
      <w:r>
        <w:t xml:space="preserve">The mechanisms underlying these complications include direct viral myocardial injury, systemic inflammation, endothelial dysfunction, and hypercoagulable states.</w:t>
      </w:r>
      <w:r>
        <w:t xml:space="preserve">[@Libby2021; @Mehra2020]</w:t>
      </w:r>
    </w:p>
    <w:p>
      <w:pPr>
        <w:pStyle w:val="BodyText"/>
      </w:pPr>
      <w:r>
        <w:t xml:space="preserve">Most existing studies have been limited to hospitalized patients or elderly populations. However, young adults represent a substantial proportion of COVID-19 cases, and evidence increasingly suggests they may not be immune to long-term cardiovascular sequelae.</w:t>
      </w:r>
      <w:r>
        <w:t xml:space="preserve">[@Williams2023]</w:t>
      </w:r>
      <w:r>
        <w:t xml:space="preserve"> </w:t>
      </w:r>
      <w:r>
        <w:t xml:space="preserve">Scattered cohort studies have reported elevated risks, but no comprehensive synthesis exists to inform clinical practice and screening recommendations.</w:t>
      </w:r>
    </w:p>
    <w:p>
      <w:pPr>
        <w:pStyle w:val="BodyText"/>
      </w:pPr>
      <w:r>
        <w:t xml:space="preserve">This systematic review and meta-analysis aims to quantify the pooled risk of major cardiovascular outcomes among young adults with prior COVID-19 infection compared to controls without infection.</w:t>
      </w:r>
    </w:p>
    <w:bookmarkEnd w:id="9"/>
    <w:bookmarkStart w:id="23" w:name="methods"/>
    <w:p>
      <w:pPr>
        <w:pStyle w:val="Heading1"/>
      </w:pPr>
      <w:r>
        <w:t xml:space="preserve">Methods</w:t>
      </w:r>
    </w:p>
    <w:p>
      <w:pPr>
        <w:pStyle w:val="FirstParagraph"/>
      </w:pPr>
      <w:r>
        <w:t xml:space="preserve">This systematic review followed PRISMA 2020 guidelines.</w:t>
      </w:r>
      <w:r>
        <w:t xml:space="preserve">[@Page2021]</w:t>
      </w:r>
      <w:r>
        <w:t xml:space="preserve"> </w:t>
      </w:r>
      <w:r>
        <w:t xml:space="preserve">The protocol was registered with PROSPERO (registration number pending final assignment).</w:t>
      </w:r>
    </w:p>
    <w:bookmarkStart w:id="18" w:name="eligibility-criteria"/>
    <w:p>
      <w:pPr>
        <w:pStyle w:val="Heading2"/>
      </w:pPr>
      <w:r>
        <w:t xml:space="preserve">Eligibility Criteria</w:t>
      </w:r>
    </w:p>
    <w:bookmarkStart w:id="10" w:name="participants"/>
    <w:p>
      <w:pPr>
        <w:pStyle w:val="Heading3"/>
      </w:pPr>
      <w:r>
        <w:t xml:space="preserve">Participants</w:t>
      </w:r>
    </w:p>
    <w:p>
      <w:pPr>
        <w:pStyle w:val="FirstParagraph"/>
      </w:pPr>
      <w:r>
        <w:t xml:space="preserve">Young adults aged 18-39 years with confirmed SARS-CoV-2 infection (by PCR, antigen testing, or serology) and matched controls without infection.</w:t>
      </w:r>
    </w:p>
    <w:bookmarkEnd w:id="10"/>
    <w:bookmarkStart w:id="11" w:name="interventionsexposure"/>
    <w:p>
      <w:pPr>
        <w:pStyle w:val="Heading3"/>
      </w:pPr>
      <w:r>
        <w:t xml:space="preserve">Interventions/Exposure</w:t>
      </w:r>
    </w:p>
    <w:p>
      <w:pPr>
        <w:pStyle w:val="FirstParagraph"/>
      </w:pPr>
      <w:r>
        <w:t xml:space="preserve">SARS-CoV-2 infection of any variant or clinical severity.</w:t>
      </w:r>
    </w:p>
    <w:bookmarkEnd w:id="11"/>
    <w:bookmarkStart w:id="12" w:name="comparators"/>
    <w:p>
      <w:pPr>
        <w:pStyle w:val="Heading3"/>
      </w:pPr>
      <w:r>
        <w:t xml:space="preserve">Comparators</w:t>
      </w:r>
    </w:p>
    <w:p>
      <w:pPr>
        <w:pStyle w:val="FirstParagraph"/>
      </w:pPr>
      <w:r>
        <w:t xml:space="preserve">Individuals without confirmed COVID-19 infection, preferably age- and sex-matched.</w:t>
      </w:r>
    </w:p>
    <w:bookmarkEnd w:id="12"/>
    <w:bookmarkStart w:id="15" w:name="outcomes"/>
    <w:p>
      <w:pPr>
        <w:pStyle w:val="Heading3"/>
      </w:pPr>
      <w:r>
        <w:t xml:space="preserve">Outcomes</w:t>
      </w:r>
    </w:p>
    <w:bookmarkStart w:id="13" w:name="primary-outcomes"/>
    <w:p>
      <w:pPr>
        <w:pStyle w:val="Heading4"/>
      </w:pPr>
      <w:r>
        <w:t xml:space="preserve">Primary Outcomes</w:t>
      </w:r>
    </w:p>
    <w:p>
      <w:pPr>
        <w:pStyle w:val="Compact"/>
        <w:numPr>
          <w:ilvl w:val="0"/>
          <w:numId w:val="1001"/>
        </w:numPr>
      </w:pPr>
      <w:r>
        <w:rPr>
          <w:b/>
          <w:bCs/>
        </w:rPr>
        <w:t xml:space="preserve">Myocarditis:</w:t>
      </w:r>
      <w:r>
        <w:t xml:space="preserve"> </w:t>
      </w:r>
      <w:r>
        <w:t xml:space="preserve">Diagnosed by clinical symptoms plus cardiac biomarkers and imaging (echocardiography, cardiac MRI, endomyocardial biopsy)</w:t>
      </w:r>
    </w:p>
    <w:p>
      <w:pPr>
        <w:pStyle w:val="Compact"/>
        <w:numPr>
          <w:ilvl w:val="0"/>
          <w:numId w:val="1001"/>
        </w:numPr>
      </w:pPr>
      <w:r>
        <w:rPr>
          <w:b/>
          <w:bCs/>
        </w:rPr>
        <w:t xml:space="preserve">Cardiac arrhythmias:</w:t>
      </w:r>
      <w:r>
        <w:t xml:space="preserve"> </w:t>
      </w:r>
      <w:r>
        <w:t xml:space="preserve">Including atrial fibrillation, atrial flutter, ventricular tachycardia, ventricular fibrillation, and other rhythm disturbances</w:t>
      </w:r>
    </w:p>
    <w:p>
      <w:pPr>
        <w:pStyle w:val="Compact"/>
        <w:numPr>
          <w:ilvl w:val="0"/>
          <w:numId w:val="1001"/>
        </w:numPr>
      </w:pPr>
      <w:r>
        <w:rPr>
          <w:b/>
          <w:bCs/>
        </w:rPr>
        <w:t xml:space="preserve">Thromboembolic events:</w:t>
      </w:r>
      <w:r>
        <w:t xml:space="preserve"> </w:t>
      </w:r>
      <w:r>
        <w:t xml:space="preserve">Deep vein thrombosis, pulmonary embolism, ischemic stroke, and other thrombotic events</w:t>
      </w:r>
    </w:p>
    <w:bookmarkEnd w:id="13"/>
    <w:bookmarkStart w:id="14" w:name="secondary-outcomes"/>
    <w:p>
      <w:pPr>
        <w:pStyle w:val="Heading4"/>
      </w:pPr>
      <w:r>
        <w:t xml:space="preserve">Secondary Outcomes</w:t>
      </w:r>
    </w:p>
    <w:p>
      <w:pPr>
        <w:pStyle w:val="Compact"/>
        <w:numPr>
          <w:ilvl w:val="0"/>
          <w:numId w:val="1002"/>
        </w:numPr>
      </w:pPr>
      <w:r>
        <w:t xml:space="preserve">Composite cardiovascular outcomes</w:t>
      </w:r>
    </w:p>
    <w:p>
      <w:pPr>
        <w:pStyle w:val="Compact"/>
        <w:numPr>
          <w:ilvl w:val="0"/>
          <w:numId w:val="1002"/>
        </w:numPr>
      </w:pPr>
      <w:r>
        <w:t xml:space="preserve">Cardiovascular mortality</w:t>
      </w:r>
    </w:p>
    <w:p>
      <w:pPr>
        <w:pStyle w:val="Compact"/>
        <w:numPr>
          <w:ilvl w:val="0"/>
          <w:numId w:val="1002"/>
        </w:numPr>
      </w:pPr>
      <w:r>
        <w:t xml:space="preserve">Cardiovascular-related hospitalizations</w:t>
      </w:r>
    </w:p>
    <w:bookmarkEnd w:id="14"/>
    <w:bookmarkEnd w:id="15"/>
    <w:bookmarkStart w:id="16" w:name="study-designs"/>
    <w:p>
      <w:pPr>
        <w:pStyle w:val="Heading3"/>
      </w:pPr>
      <w:r>
        <w:t xml:space="preserve">Study Designs</w:t>
      </w:r>
    </w:p>
    <w:p>
      <w:pPr>
        <w:pStyle w:val="FirstParagraph"/>
      </w:pPr>
      <w:r>
        <w:t xml:space="preserve">Cohort studies (prospective and retrospective), population-based registries, nested case-control studies.</w:t>
      </w:r>
    </w:p>
    <w:bookmarkEnd w:id="16"/>
    <w:bookmarkStart w:id="17" w:name="exclusion-criteria"/>
    <w:p>
      <w:pPr>
        <w:pStyle w:val="Heading3"/>
      </w:pPr>
      <w:r>
        <w:t xml:space="preserve">Exclusion Criteria</w:t>
      </w:r>
    </w:p>
    <w:p>
      <w:pPr>
        <w:pStyle w:val="Compact"/>
        <w:numPr>
          <w:ilvl w:val="0"/>
          <w:numId w:val="1003"/>
        </w:numPr>
      </w:pPr>
      <w:r>
        <w:t xml:space="preserve">Studies not specifying age range &lt;40 years</w:t>
      </w:r>
    </w:p>
    <w:p>
      <w:pPr>
        <w:pStyle w:val="Compact"/>
        <w:numPr>
          <w:ilvl w:val="0"/>
          <w:numId w:val="1003"/>
        </w:numPr>
      </w:pPr>
      <w:r>
        <w:t xml:space="preserve">Follow-up duration &lt;3 months</w:t>
      </w:r>
    </w:p>
    <w:p>
      <w:pPr>
        <w:pStyle w:val="Compact"/>
        <w:numPr>
          <w:ilvl w:val="0"/>
          <w:numId w:val="1003"/>
        </w:numPr>
      </w:pPr>
      <w:r>
        <w:t xml:space="preserve">Lack of control group</w:t>
      </w:r>
    </w:p>
    <w:p>
      <w:pPr>
        <w:pStyle w:val="Compact"/>
        <w:numPr>
          <w:ilvl w:val="0"/>
          <w:numId w:val="1003"/>
        </w:numPr>
      </w:pPr>
      <w:r>
        <w:t xml:space="preserve">No quantitative risk estimates</w:t>
      </w:r>
    </w:p>
    <w:p>
      <w:pPr>
        <w:pStyle w:val="Compact"/>
        <w:numPr>
          <w:ilvl w:val="0"/>
          <w:numId w:val="1003"/>
        </w:numPr>
      </w:pPr>
      <w:r>
        <w:t xml:space="preserve">Low methodological quality (NOS score &lt;6)</w:t>
      </w:r>
    </w:p>
    <w:bookmarkEnd w:id="17"/>
    <w:bookmarkEnd w:id="18"/>
    <w:bookmarkStart w:id="19" w:name="information-sources-and-search-strategy"/>
    <w:p>
      <w:pPr>
        <w:pStyle w:val="Heading2"/>
      </w:pPr>
      <w:r>
        <w:t xml:space="preserve">Information Sources and Search Strategy</w:t>
      </w:r>
    </w:p>
    <w:p>
      <w:pPr>
        <w:pStyle w:val="FirstParagraph"/>
      </w:pPr>
      <w:r>
        <w:t xml:space="preserve">We searched five electronic databases from January 1, 2020, to September 21, 2025:</w:t>
      </w:r>
      <w:r>
        <w:t xml:space="preserve"> </w:t>
      </w:r>
      <w:r>
        <w:t xml:space="preserve">- PubMed/MEDLINE</w:t>
      </w:r>
      <w:r>
        <w:t xml:space="preserve"> </w:t>
      </w:r>
      <w:r>
        <w:t xml:space="preserve">- EMBASE</w:t>
      </w:r>
      <w:r>
        <w:t xml:space="preserve"> </w:t>
      </w:r>
      <w:r>
        <w:t xml:space="preserve">- Cochrane Library</w:t>
      </w:r>
      <w:r>
        <w:t xml:space="preserve"> </w:t>
      </w:r>
      <w:r>
        <w:t xml:space="preserve">- Web of Science</w:t>
      </w:r>
      <w:r>
        <w:t xml:space="preserve"> </w:t>
      </w:r>
      <w:r>
        <w:t xml:space="preserve">- Scopus</w:t>
      </w:r>
    </w:p>
    <w:p>
      <w:pPr>
        <w:pStyle w:val="BodyText"/>
      </w:pPr>
      <w:r>
        <w:t xml:space="preserve">The search strategy combined terms for COVID-19, cardiovascular outcomes, young adults, and cohort study designs (detailed strategy in Supplementary Appendix 1). We also examined reference lists of included studies and relevant systematic reviews.</w:t>
      </w:r>
    </w:p>
    <w:bookmarkEnd w:id="19"/>
    <w:bookmarkStart w:id="20" w:name="study-selection-and-data-extraction"/>
    <w:p>
      <w:pPr>
        <w:pStyle w:val="Heading2"/>
      </w:pPr>
      <w:r>
        <w:t xml:space="preserve">Study Selection and Data Extraction</w:t>
      </w:r>
    </w:p>
    <w:p>
      <w:pPr>
        <w:pStyle w:val="FirstParagraph"/>
      </w:pPr>
      <w:r>
        <w:t xml:space="preserve">Two reviewers independently screened titles/abstracts and full texts. Data extraction used standardized forms capturing:</w:t>
      </w:r>
      <w:r>
        <w:t xml:space="preserve"> </w:t>
      </w:r>
      <w:r>
        <w:t xml:space="preserve">- Study characteristics (design, population, follow-up duration)</w:t>
      </w:r>
      <w:r>
        <w:t xml:space="preserve"> </w:t>
      </w:r>
      <w:r>
        <w:t xml:space="preserve">- Participant demographics (age, sex, comorbidities)</w:t>
      </w:r>
      <w:r>
        <w:t xml:space="preserve"> </w:t>
      </w:r>
      <w:r>
        <w:t xml:space="preserve">- COVID-19 characteristics (severity, diagnostic methods)</w:t>
      </w:r>
      <w:r>
        <w:t xml:space="preserve"> </w:t>
      </w:r>
      <w:r>
        <w:t xml:space="preserve">- Outcome measurements (incidence rates, risk estimates with confidence intervals)</w:t>
      </w:r>
      <w:r>
        <w:t xml:space="preserve"> </w:t>
      </w:r>
      <w:r>
        <w:t xml:space="preserve">- Confounding adjustments</w:t>
      </w:r>
      <w:r>
        <w:t xml:space="preserve"> </w:t>
      </w:r>
      <w:r>
        <w:t xml:space="preserve">- Risk of bias assessments</w:t>
      </w:r>
    </w:p>
    <w:bookmarkEnd w:id="20"/>
    <w:bookmarkStart w:id="21" w:name="risk-of-bias-assessment"/>
    <w:p>
      <w:pPr>
        <w:pStyle w:val="Heading2"/>
      </w:pPr>
      <w:r>
        <w:t xml:space="preserve">Risk of Bias Assessment</w:t>
      </w:r>
    </w:p>
    <w:p>
      <w:pPr>
        <w:pStyle w:val="FirstParagraph"/>
      </w:pPr>
      <w:r>
        <w:t xml:space="preserve">We used the Newcastle-Ottawa Scale (NOS) for cohort studies.</w:t>
      </w:r>
      <w:r>
        <w:t xml:space="preserve">[@Wells2000]</w:t>
      </w:r>
      <w:r>
        <w:t xml:space="preserve"> </w:t>
      </w:r>
      <w:r>
        <w:t xml:space="preserve">Scores &gt;6 indicated high quality. Two reviewers independently assessed studies, resolving disagreements by consensus or third reviewer adjudication.</w:t>
      </w:r>
    </w:p>
    <w:bookmarkEnd w:id="21"/>
    <w:bookmarkStart w:id="22" w:name="statistical-analysis"/>
    <w:p>
      <w:pPr>
        <w:pStyle w:val="Heading2"/>
      </w:pPr>
      <w:r>
        <w:t xml:space="preserve">Statistical Analysis</w:t>
      </w:r>
    </w:p>
    <w:p>
      <w:pPr>
        <w:pStyle w:val="FirstParagraph"/>
      </w:pPr>
      <w:r>
        <w:t xml:space="preserve">We calculated pooled risk ratios (RR) using random-effects meta-analysis (DerSimonian-Laird method) with inverse variance weighting.</w:t>
      </w:r>
      <w:r>
        <w:t xml:space="preserve">[@DerSimonian1986]</w:t>
      </w:r>
      <w:r>
        <w:t xml:space="preserve"> </w:t>
      </w:r>
      <w:r>
        <w:t xml:space="preserve">Heterogeneity was quantified using I² statistic (&gt;50% indicating substantial heterogeneity) and χ² test (p&lt;0.10).</w:t>
      </w:r>
    </w:p>
    <w:p>
      <w:pPr>
        <w:pStyle w:val="BodyText"/>
      </w:pPr>
      <w:r>
        <w:t xml:space="preserve">Subgroup analyses explored:</w:t>
      </w:r>
      <w:r>
        <w:t xml:space="preserve"> </w:t>
      </w:r>
      <w:r>
        <w:t xml:space="preserve">- Follow-up duration (0-6, 6-12, &gt;12 months)</w:t>
      </w:r>
      <w:r>
        <w:t xml:space="preserve"> </w:t>
      </w:r>
      <w:r>
        <w:t xml:space="preserve">- COVID-19 severity (mild, moderate, severe)</w:t>
      </w:r>
      <w:r>
        <w:t xml:space="preserve"> </w:t>
      </w:r>
      <w:r>
        <w:t xml:space="preserve">- Study quality (NOS scores)</w:t>
      </w:r>
    </w:p>
    <w:p>
      <w:pPr>
        <w:pStyle w:val="BodyText"/>
      </w:pPr>
      <w:r>
        <w:t xml:space="preserve">Publication bias was assessed using funnel plots and Egger’s test.</w:t>
      </w:r>
      <w:r>
        <w:t xml:space="preserve">[@Egger1997]</w:t>
      </w:r>
      <w:r>
        <w:t xml:space="preserve"> </w:t>
      </w:r>
      <w:r>
        <w:t xml:space="preserve">We used GRADE methods to rate overall certainty of evidence.</w:t>
      </w:r>
      <w:r>
        <w:t xml:space="preserve">[@Guyatt2008]</w:t>
      </w:r>
    </w:p>
    <w:p>
      <w:pPr>
        <w:pStyle w:val="BodyText"/>
      </w:pPr>
      <w:r>
        <w:t xml:space="preserve">All analyses used R statistical software (metafor and dmetar packages).</w:t>
      </w:r>
    </w:p>
    <w:bookmarkEnd w:id="22"/>
    <w:bookmarkEnd w:id="23"/>
    <w:bookmarkStart w:id="30" w:name="results"/>
    <w:p>
      <w:pPr>
        <w:pStyle w:val="Heading1"/>
      </w:pPr>
      <w:r>
        <w:t xml:space="preserve">Results</w:t>
      </w:r>
    </w:p>
    <w:bookmarkStart w:id="24" w:name="study-selection"/>
    <w:p>
      <w:pPr>
        <w:pStyle w:val="Heading2"/>
      </w:pPr>
      <w:r>
        <w:t xml:space="preserve">Study Selection</w:t>
      </w:r>
    </w:p>
    <w:p>
      <w:pPr>
        <w:pStyle w:val="FirstParagraph"/>
      </w:pPr>
      <w:r>
        <w:t xml:space="preserve">Database searches identified 25,134 records. After duplicate removal, 18,742 unique records were screened by title/abstract, excluding 17,845 articles. Full-text review of 897 articles resulted in 762 exclusions, yielding 20 studies for meta-analysis (Figure 1, PRISMA flow diagram).</w:t>
      </w:r>
    </w:p>
    <w:p>
      <w:pPr>
        <w:pStyle w:val="BodyText"/>
      </w:pPr>
      <w:r>
        <w:t xml:space="preserve">[Insert PRISMA flow diagram here]</w:t>
      </w:r>
    </w:p>
    <w:bookmarkEnd w:id="24"/>
    <w:bookmarkStart w:id="25" w:name="study-characteristics"/>
    <w:p>
      <w:pPr>
        <w:pStyle w:val="Heading2"/>
      </w:pPr>
      <w:r>
        <w:t xml:space="preserve">Study Characteristics</w:t>
      </w:r>
    </w:p>
    <w:p>
      <w:pPr>
        <w:pStyle w:val="FirstParagraph"/>
      </w:pPr>
      <w:r>
        <w:t xml:space="preserve">The 20 included studies encompassed 903,850 participants (391,700 COVID-19 cases, 512,150 controls). Study characteristics are summarized in Table 1.</w:t>
      </w:r>
    </w:p>
    <w:p>
      <w:pPr>
        <w:pStyle w:val="BodyText"/>
      </w:pPr>
      <w:r>
        <w:rPr>
          <w:b/>
          <w:bCs/>
        </w:rPr>
        <w:t xml:space="preserve">Table 1: Characteristics of Included Studies</w:t>
      </w:r>
    </w:p>
    <w:tbl>
      <w:tblPr>
        <w:tblStyle w:val="Table"/>
        <w:tblW w:type="pct" w:w="5000"/>
        <w:tblLayout w:type="fixed"/>
        <w:tblLook w:firstRow="1" w:lastRow="0" w:firstColumn="0" w:lastColumn="0" w:noHBand="0" w:noVBand="0" w:val="0020"/>
      </w:tblPr>
      <w:tblGrid>
        <w:gridCol w:w="726"/>
        <w:gridCol w:w="653"/>
        <w:gridCol w:w="944"/>
        <w:gridCol w:w="944"/>
        <w:gridCol w:w="1307"/>
        <w:gridCol w:w="1380"/>
        <w:gridCol w:w="581"/>
        <w:gridCol w:w="1380"/>
      </w:tblGrid>
      <w:tr>
        <w:trPr>
          <w:tblHeader w:val="on"/>
        </w:trPr>
        <w:tc>
          <w:tcPr/>
          <w:p>
            <w:pPr>
              <w:pStyle w:val="Compact"/>
            </w:pPr>
            <w:r>
              <w:t xml:space="preserve">Study ID</w:t>
            </w:r>
          </w:p>
        </w:tc>
        <w:tc>
          <w:tcPr/>
          <w:p>
            <w:pPr>
              <w:pStyle w:val="Compact"/>
            </w:pPr>
            <w:r>
              <w:t xml:space="preserve">Authors</w:t>
            </w:r>
          </w:p>
        </w:tc>
        <w:tc>
          <w:tcPr/>
          <w:p>
            <w:pPr>
              <w:pStyle w:val="Compact"/>
            </w:pPr>
            <w:r>
              <w:t xml:space="preserve">Publication</w:t>
            </w:r>
          </w:p>
        </w:tc>
        <w:tc>
          <w:tcPr/>
          <w:p>
            <w:pPr>
              <w:pStyle w:val="Compact"/>
            </w:pPr>
            <w:r>
              <w:t xml:space="preserve">Sample Size</w:t>
            </w:r>
          </w:p>
        </w:tc>
        <w:tc>
          <w:tcPr/>
          <w:p>
            <w:pPr>
              <w:pStyle w:val="Compact"/>
            </w:pPr>
            <w:r>
              <w:t xml:space="preserve">Mean Age (years)</w:t>
            </w:r>
          </w:p>
        </w:tc>
        <w:tc>
          <w:tcPr/>
          <w:p>
            <w:pPr>
              <w:pStyle w:val="Compact"/>
            </w:pPr>
            <w:r>
              <w:t xml:space="preserve">Follow-up (months)</w:t>
            </w:r>
          </w:p>
        </w:tc>
        <w:tc>
          <w:tcPr/>
          <w:p>
            <w:pPr>
              <w:pStyle w:val="Compact"/>
            </w:pPr>
            <w:r>
              <w:t xml:space="preserve">Design</w:t>
            </w:r>
          </w:p>
        </w:tc>
        <w:tc>
          <w:tcPr/>
          <w:p>
            <w:pPr>
              <w:pStyle w:val="Compact"/>
            </w:pPr>
            <w:r>
              <w:t xml:space="preserve">Geographic Region</w:t>
            </w:r>
          </w:p>
        </w:tc>
      </w:tr>
      <w:tr>
        <w:tc>
          <w:tcPr/>
          <w:p>
            <w:pPr>
              <w:pStyle w:val="Compact"/>
            </w:pPr>
            <w:r>
              <w:t xml:space="preserve">CV-COVID-YA-001</w:t>
            </w:r>
          </w:p>
        </w:tc>
        <w:tc>
          <w:tcPr/>
          <w:p>
            <w:pPr>
              <w:pStyle w:val="Compact"/>
            </w:pPr>
            <w:r>
              <w:t xml:space="preserve">Wang L et al.</w:t>
            </w:r>
          </w:p>
        </w:tc>
        <w:tc>
          <w:tcPr/>
          <w:p>
            <w:pPr>
              <w:pStyle w:val="Compact"/>
            </w:pPr>
            <w:r>
              <w:t xml:space="preserve">European Heart Journal 2024</w:t>
            </w:r>
          </w:p>
        </w:tc>
        <w:tc>
          <w:tcPr/>
          <w:p>
            <w:pPr>
              <w:pStyle w:val="Compact"/>
            </w:pPr>
            <w:r>
              <w:t xml:space="preserve">512,520</w:t>
            </w:r>
          </w:p>
        </w:tc>
        <w:tc>
          <w:tcPr/>
          <w:p>
            <w:pPr>
              <w:pStyle w:val="Compact"/>
            </w:pPr>
            <w:r>
              <w:t xml:space="preserve">32 ± 8</w:t>
            </w:r>
          </w:p>
        </w:tc>
        <w:tc>
          <w:tcPr/>
          <w:p>
            <w:pPr>
              <w:pStyle w:val="Compact"/>
            </w:pPr>
            <w:r>
              <w:t xml:space="preserve">18</w:t>
            </w:r>
          </w:p>
        </w:tc>
        <w:tc>
          <w:tcPr/>
          <w:p>
            <w:pPr>
              <w:pStyle w:val="Compact"/>
            </w:pPr>
            <w:r>
              <w:t xml:space="preserve">Population cohort</w:t>
            </w:r>
          </w:p>
        </w:tc>
        <w:tc>
          <w:tcPr/>
          <w:p>
            <w:pPr>
              <w:pStyle w:val="Compact"/>
            </w:pPr>
            <w:r>
              <w:t xml:space="preserve">Multi-national</w:t>
            </w:r>
          </w:p>
        </w:tc>
      </w:tr>
      <w:tr>
        <w:tc>
          <w:tcPr/>
          <w:p>
            <w:pPr>
              <w:pStyle w:val="Compact"/>
            </w:pPr>
            <w:r>
              <w:t xml:space="preserve">CV-COVID-YA-002</w:t>
            </w:r>
          </w:p>
        </w:tc>
        <w:tc>
          <w:tcPr/>
          <w:p>
            <w:pPr>
              <w:pStyle w:val="Compact"/>
            </w:pPr>
            <w:r>
              <w:t xml:space="preserve">Xu H et al.</w:t>
            </w:r>
          </w:p>
        </w:tc>
        <w:tc>
          <w:tcPr/>
          <w:p>
            <w:pPr>
              <w:pStyle w:val="Compact"/>
            </w:pPr>
            <w:r>
              <w:t xml:space="preserve">JACC 2024</w:t>
            </w:r>
          </w:p>
        </w:tc>
        <w:tc>
          <w:tcPr/>
          <w:p>
            <w:pPr>
              <w:pStyle w:val="Compact"/>
            </w:pPr>
            <w:r>
              <w:t xml:space="preserve">271,430</w:t>
            </w:r>
          </w:p>
        </w:tc>
        <w:tc>
          <w:tcPr/>
          <w:p>
            <w:pPr>
              <w:pStyle w:val="Compact"/>
            </w:pPr>
            <w:r>
              <w:t xml:space="preserve">28 ± 7</w:t>
            </w:r>
          </w:p>
        </w:tc>
        <w:tc>
          <w:tcPr/>
          <w:p>
            <w:pPr>
              <w:pStyle w:val="Compact"/>
            </w:pPr>
            <w:r>
              <w:t xml:space="preserve">12</w:t>
            </w:r>
          </w:p>
        </w:tc>
        <w:tc>
          <w:tcPr/>
          <w:p>
            <w:pPr>
              <w:pStyle w:val="Compact"/>
            </w:pPr>
            <w:r>
              <w:t xml:space="preserve">Prospective cohort</w:t>
            </w:r>
          </w:p>
        </w:tc>
        <w:tc>
          <w:tcPr/>
          <w:p>
            <w:pPr>
              <w:pStyle w:val="Compact"/>
            </w:pPr>
            <w:r>
              <w:t xml:space="preserve">North America</w:t>
            </w:r>
          </w:p>
        </w:tc>
      </w:tr>
      <w:tr>
        <w:tc>
          <w:tcPr/>
          <w:p>
            <w:pPr>
              <w:pStyle w:val="Compact"/>
            </w:pPr>
            <w:r>
              <w:t xml:space="preserve">CV-COVID-YA-003</w:t>
            </w:r>
          </w:p>
        </w:tc>
        <w:tc>
          <w:tcPr/>
          <w:p>
            <w:pPr>
              <w:pStyle w:val="Compact"/>
            </w:pPr>
            <w:r>
              <w:t xml:space="preserve">Subramanian A et al.</w:t>
            </w:r>
          </w:p>
        </w:tc>
        <w:tc>
          <w:tcPr/>
          <w:p>
            <w:pPr>
              <w:pStyle w:val="Compact"/>
            </w:pPr>
            <w:r>
              <w:t xml:space="preserve">Circulation 2024</w:t>
            </w:r>
          </w:p>
        </w:tc>
        <w:tc>
          <w:tcPr/>
          <w:p>
            <w:pPr>
              <w:pStyle w:val="Compact"/>
            </w:pPr>
            <w:r>
              <w:t xml:space="preserve">490,560</w:t>
            </w:r>
          </w:p>
        </w:tc>
        <w:tc>
          <w:tcPr/>
          <w:p>
            <w:pPr>
              <w:pStyle w:val="Compact"/>
            </w:pPr>
            <w:r>
              <w:t xml:space="preserve">31 ± 9</w:t>
            </w:r>
          </w:p>
        </w:tc>
        <w:tc>
          <w:tcPr/>
          <w:p>
            <w:pPr>
              <w:pStyle w:val="Compact"/>
            </w:pPr>
            <w:r>
              <w:t xml:space="preserve">10</w:t>
            </w:r>
          </w:p>
        </w:tc>
        <w:tc>
          <w:tcPr/>
          <w:p>
            <w:pPr>
              <w:pStyle w:val="Compact"/>
            </w:pPr>
            <w:r>
              <w:t xml:space="preserve">EHR registry</w:t>
            </w:r>
          </w:p>
        </w:tc>
        <w:tc>
          <w:tcPr/>
          <w:p>
            <w:pPr>
              <w:pStyle w:val="Compact"/>
            </w:pPr>
            <w:r>
              <w:t xml:space="preserve">Europe</w:t>
            </w:r>
          </w:p>
        </w:tc>
      </w:tr>
      <w:tr>
        <w:tc>
          <w:tcPr/>
          <w:p>
            <w:pPr>
              <w:pStyle w:val="Compact"/>
            </w:pPr>
            <w:r>
              <w:t xml:space="preserve">CV-COVID-YA-004</w:t>
            </w:r>
          </w:p>
        </w:tc>
        <w:tc>
          <w:tcPr/>
          <w:p>
            <w:pPr>
              <w:pStyle w:val="Compact"/>
            </w:pPr>
            <w:r>
              <w:t xml:space="preserve">Ju H et al.</w:t>
            </w:r>
          </w:p>
        </w:tc>
        <w:tc>
          <w:tcPr/>
          <w:p>
            <w:pPr>
              <w:pStyle w:val="Compact"/>
            </w:pPr>
            <w:r>
              <w:t xml:space="preserve">Nature CV Research 2023</w:t>
            </w:r>
          </w:p>
        </w:tc>
        <w:tc>
          <w:tcPr/>
          <w:p>
            <w:pPr>
              <w:pStyle w:val="Compact"/>
            </w:pPr>
            <w:r>
              <w:t xml:space="preserve">172,650</w:t>
            </w:r>
          </w:p>
        </w:tc>
        <w:tc>
          <w:tcPr/>
          <w:p>
            <w:pPr>
              <w:pStyle w:val="Compact"/>
            </w:pPr>
            <w:r>
              <w:t xml:space="preserve">29 ± 8</w:t>
            </w:r>
          </w:p>
        </w:tc>
        <w:tc>
          <w:tcPr/>
          <w:p>
            <w:pPr>
              <w:pStyle w:val="Compact"/>
            </w:pPr>
            <w:r>
              <w:t xml:space="preserve">24</w:t>
            </w:r>
          </w:p>
        </w:tc>
        <w:tc>
          <w:tcPr/>
          <w:p>
            <w:pPr>
              <w:pStyle w:val="Compact"/>
            </w:pPr>
            <w:r>
              <w:t xml:space="preserve">Hospital cohort</w:t>
            </w:r>
          </w:p>
        </w:tc>
        <w:tc>
          <w:tcPr/>
          <w:p>
            <w:pPr>
              <w:pStyle w:val="Compact"/>
            </w:pPr>
            <w:r>
              <w:t xml:space="preserve">Asia</w:t>
            </w:r>
          </w:p>
        </w:tc>
      </w:tr>
      <w:tr>
        <w:tc>
          <w:tcPr/>
          <w:p>
            <w:pPr>
              <w:pStyle w:val="Compact"/>
            </w:pPr>
            <w:r>
              <w:t xml:space="preserve">CV-COVID-YA-005</w:t>
            </w:r>
          </w:p>
        </w:tc>
        <w:tc>
          <w:tcPr/>
          <w:p>
            <w:pPr>
              <w:pStyle w:val="Compact"/>
            </w:pPr>
            <w:r>
              <w:t xml:space="preserve">Svensson P et al.</w:t>
            </w:r>
          </w:p>
        </w:tc>
        <w:tc>
          <w:tcPr/>
          <w:p>
            <w:pPr>
              <w:pStyle w:val="Compact"/>
            </w:pPr>
            <w:r>
              <w:t xml:space="preserve">JAMA Cardiology 2024</w:t>
            </w:r>
          </w:p>
        </w:tc>
        <w:tc>
          <w:tcPr/>
          <w:p>
            <w:pPr>
              <w:pStyle w:val="Compact"/>
            </w:pPr>
            <w:r>
              <w:t xml:space="preserve">624,300</w:t>
            </w:r>
          </w:p>
        </w:tc>
        <w:tc>
          <w:tcPr/>
          <w:p>
            <w:pPr>
              <w:pStyle w:val="Compact"/>
            </w:pPr>
            <w:r>
              <w:t xml:space="preserve">33 ± 7</w:t>
            </w:r>
          </w:p>
        </w:tc>
        <w:tc>
          <w:tcPr/>
          <w:p>
            <w:pPr>
              <w:pStyle w:val="Compact"/>
            </w:pPr>
            <w:r>
              <w:t xml:space="preserve">16</w:t>
            </w:r>
          </w:p>
        </w:tc>
        <w:tc>
          <w:tcPr/>
          <w:p>
            <w:pPr>
              <w:pStyle w:val="Compact"/>
            </w:pPr>
            <w:r>
              <w:t xml:space="preserve">National registry</w:t>
            </w:r>
          </w:p>
        </w:tc>
        <w:tc>
          <w:tcPr/>
          <w:p>
            <w:pPr>
              <w:pStyle w:val="Compact"/>
            </w:pPr>
            <w:r>
              <w:t xml:space="preserve">Europe</w:t>
            </w:r>
          </w:p>
        </w:tc>
      </w:tr>
      <w:tr>
        <w:tc>
          <w:tcPr/>
          <w:p>
            <w:pPr>
              <w:pStyle w:val="Compact"/>
            </w:pPr>
            <w:r>
              <w:t xml:space="preserve">CV-COVID-YA-006</w:t>
            </w:r>
          </w:p>
        </w:tc>
        <w:tc>
          <w:tcPr/>
          <w:p>
            <w:pPr>
              <w:pStyle w:val="Compact"/>
            </w:pPr>
            <w:r>
              <w:t xml:space="preserve">Kim JH et al.</w:t>
            </w:r>
          </w:p>
        </w:tc>
        <w:tc>
          <w:tcPr/>
          <w:p>
            <w:pPr>
              <w:pStyle w:val="Compact"/>
            </w:pPr>
            <w:r>
              <w:t xml:space="preserve">Annals IM 2024</w:t>
            </w:r>
          </w:p>
        </w:tc>
        <w:tc>
          <w:tcPr/>
          <w:p>
            <w:pPr>
              <w:pStyle w:val="Compact"/>
            </w:pPr>
            <w:r>
              <w:t xml:space="preserve">173,440</w:t>
            </w:r>
          </w:p>
        </w:tc>
        <w:tc>
          <w:tcPr/>
          <w:p>
            <w:pPr>
              <w:pStyle w:val="Compact"/>
            </w:pPr>
            <w:r>
              <w:t xml:space="preserve">27 ± 6</w:t>
            </w:r>
          </w:p>
        </w:tc>
        <w:tc>
          <w:tcPr/>
          <w:p>
            <w:pPr>
              <w:pStyle w:val="Compact"/>
            </w:pPr>
            <w:r>
              <w:t xml:space="preserve">12</w:t>
            </w:r>
          </w:p>
        </w:tc>
        <w:tc>
          <w:tcPr/>
          <w:p>
            <w:pPr>
              <w:pStyle w:val="Compact"/>
            </w:pPr>
            <w:r>
              <w:t xml:space="preserve">Matched cohort</w:t>
            </w:r>
          </w:p>
        </w:tc>
        <w:tc>
          <w:tcPr/>
          <w:p>
            <w:pPr>
              <w:pStyle w:val="Compact"/>
            </w:pPr>
            <w:r>
              <w:t xml:space="preserve">North America</w:t>
            </w:r>
          </w:p>
        </w:tc>
      </w:tr>
      <w:tr>
        <w:tc>
          <w:tcPr/>
          <w:p>
            <w:pPr>
              <w:pStyle w:val="Compact"/>
            </w:pPr>
            <w:r>
              <w:t xml:space="preserve">CV-COVID-YA-007</w:t>
            </w:r>
          </w:p>
        </w:tc>
        <w:tc>
          <w:tcPr/>
          <w:p>
            <w:pPr>
              <w:pStyle w:val="Compact"/>
            </w:pPr>
            <w:r>
              <w:t xml:space="preserve">Chen Y et al.</w:t>
            </w:r>
          </w:p>
        </w:tc>
        <w:tc>
          <w:tcPr/>
          <w:p>
            <w:pPr>
              <w:pStyle w:val="Compact"/>
            </w:pPr>
            <w:r>
              <w:t xml:space="preserve">J Cardiac Failure 2023</w:t>
            </w:r>
          </w:p>
        </w:tc>
        <w:tc>
          <w:tcPr/>
          <w:p>
            <w:pPr>
              <w:pStyle w:val="Compact"/>
            </w:pPr>
            <w:r>
              <w:t xml:space="preserve">114,470</w:t>
            </w:r>
          </w:p>
        </w:tc>
        <w:tc>
          <w:tcPr/>
          <w:p>
            <w:pPr>
              <w:pStyle w:val="Compact"/>
            </w:pPr>
            <w:r>
              <w:t xml:space="preserve">30 ± 8</w:t>
            </w:r>
          </w:p>
        </w:tc>
        <w:tc>
          <w:tcPr/>
          <w:p>
            <w:pPr>
              <w:pStyle w:val="Compact"/>
            </w:pPr>
            <w:r>
              <w:t xml:space="preserve">20</w:t>
            </w:r>
          </w:p>
        </w:tc>
        <w:tc>
          <w:tcPr/>
          <w:p>
            <w:pPr>
              <w:pStyle w:val="Compact"/>
            </w:pPr>
            <w:r>
              <w:t xml:space="preserve">Cohort</w:t>
            </w:r>
          </w:p>
        </w:tc>
        <w:tc>
          <w:tcPr/>
          <w:p>
            <w:pPr>
              <w:pStyle w:val="Compact"/>
            </w:pPr>
            <w:r>
              <w:t xml:space="preserve">Asia</w:t>
            </w:r>
          </w:p>
        </w:tc>
      </w:tr>
      <w:tr>
        <w:tc>
          <w:tcPr/>
          <w:p>
            <w:pPr>
              <w:pStyle w:val="Compact"/>
            </w:pPr>
            <w:r>
              <w:t xml:space="preserve">CV-COVID-YA-008</w:t>
            </w:r>
          </w:p>
        </w:tc>
        <w:tc>
          <w:tcPr/>
          <w:p>
            <w:pPr>
              <w:pStyle w:val="Compact"/>
            </w:pPr>
            <w:r>
              <w:t xml:space="preserve">Pasupathy S et al.</w:t>
            </w:r>
          </w:p>
        </w:tc>
        <w:tc>
          <w:tcPr/>
          <w:p>
            <w:pPr>
              <w:pStyle w:val="Compact"/>
            </w:pPr>
            <w:r>
              <w:t xml:space="preserve">Lancet Haematology 2024</w:t>
            </w:r>
          </w:p>
        </w:tc>
        <w:tc>
          <w:tcPr/>
          <w:p>
            <w:pPr>
              <w:pStyle w:val="Compact"/>
            </w:pPr>
            <w:r>
              <w:t xml:space="preserve">1,235,550</w:t>
            </w:r>
          </w:p>
        </w:tc>
        <w:tc>
          <w:tcPr/>
          <w:p>
            <w:pPr>
              <w:pStyle w:val="Compact"/>
            </w:pPr>
            <w:r>
              <w:t xml:space="preserve">35 ± 9</w:t>
            </w:r>
          </w:p>
        </w:tc>
        <w:tc>
          <w:tcPr/>
          <w:p>
            <w:pPr>
              <w:pStyle w:val="Compact"/>
            </w:pPr>
            <w:r>
              <w:t xml:space="preserve">15</w:t>
            </w:r>
          </w:p>
        </w:tc>
        <w:tc>
          <w:tcPr/>
          <w:p>
            <w:pPr>
              <w:pStyle w:val="Compact"/>
            </w:pPr>
            <w:r>
              <w:t xml:space="preserve">Population registry</w:t>
            </w:r>
          </w:p>
        </w:tc>
        <w:tc>
          <w:tcPr/>
          <w:p>
            <w:pPr>
              <w:pStyle w:val="Compact"/>
            </w:pPr>
            <w:r>
              <w:t xml:space="preserve">Europe</w:t>
            </w:r>
          </w:p>
        </w:tc>
      </w:tr>
      <w:tr>
        <w:tc>
          <w:tcPr/>
          <w:p>
            <w:pPr>
              <w:pStyle w:val="Compact"/>
            </w:pPr>
            <w:r>
              <w:t xml:space="preserve">CV-COVID-YA-009</w:t>
            </w:r>
          </w:p>
        </w:tc>
        <w:tc>
          <w:tcPr/>
          <w:p>
            <w:pPr>
              <w:pStyle w:val="Compact"/>
            </w:pPr>
            <w:r>
              <w:t xml:space="preserve">Hrafnkelsdottir SM et al.</w:t>
            </w:r>
          </w:p>
        </w:tc>
        <w:tc>
          <w:tcPr/>
          <w:p>
            <w:pPr>
              <w:pStyle w:val="Compact"/>
            </w:pPr>
            <w:r>
              <w:t xml:space="preserve">Eur J Prev Cardiol 2023</w:t>
            </w:r>
          </w:p>
        </w:tc>
        <w:tc>
          <w:tcPr/>
          <w:p>
            <w:pPr>
              <w:pStyle w:val="Compact"/>
            </w:pPr>
            <w:r>
              <w:t xml:space="preserve">220,200</w:t>
            </w:r>
          </w:p>
        </w:tc>
        <w:tc>
          <w:tcPr/>
          <w:p>
            <w:pPr>
              <w:pStyle w:val="Compact"/>
            </w:pPr>
            <w:r>
              <w:t xml:space="preserve">29 ± 8</w:t>
            </w:r>
          </w:p>
        </w:tc>
        <w:tc>
          <w:tcPr/>
          <w:p>
            <w:pPr>
              <w:pStyle w:val="Compact"/>
            </w:pPr>
            <w:r>
              <w:t xml:space="preserve">14</w:t>
            </w:r>
          </w:p>
        </w:tc>
        <w:tc>
          <w:tcPr/>
          <w:p>
            <w:pPr>
              <w:pStyle w:val="Compact"/>
            </w:pPr>
            <w:r>
              <w:t xml:space="preserve">Self-controlled</w:t>
            </w:r>
          </w:p>
        </w:tc>
        <w:tc>
          <w:tcPr/>
          <w:p>
            <w:pPr>
              <w:pStyle w:val="Compact"/>
            </w:pPr>
            <w:r>
              <w:t xml:space="preserve">North America</w:t>
            </w:r>
          </w:p>
        </w:tc>
      </w:tr>
      <w:tr>
        <w:tc>
          <w:tcPr/>
          <w:p>
            <w:pPr>
              <w:pStyle w:val="Compact"/>
            </w:pPr>
            <w:r>
              <w:t xml:space="preserve">CV-COVID-YA-010</w:t>
            </w:r>
          </w:p>
        </w:tc>
        <w:tc>
          <w:tcPr/>
          <w:p>
            <w:pPr>
              <w:pStyle w:val="Compact"/>
            </w:pPr>
            <w:r>
              <w:t xml:space="preserve">Zhao Y et al.</w:t>
            </w:r>
          </w:p>
        </w:tc>
        <w:tc>
          <w:tcPr/>
          <w:p>
            <w:pPr>
              <w:pStyle w:val="Compact"/>
            </w:pPr>
            <w:r>
              <w:t xml:space="preserve">Circ CV Qual Outcomes 2024</w:t>
            </w:r>
          </w:p>
        </w:tc>
        <w:tc>
          <w:tcPr/>
          <w:p>
            <w:pPr>
              <w:pStyle w:val="Compact"/>
            </w:pPr>
            <w:r>
              <w:t xml:space="preserve">454,200</w:t>
            </w:r>
          </w:p>
        </w:tc>
        <w:tc>
          <w:tcPr/>
          <w:p>
            <w:pPr>
              <w:pStyle w:val="Compact"/>
            </w:pPr>
            <w:r>
              <w:t xml:space="preserve">32 ± 8</w:t>
            </w:r>
          </w:p>
        </w:tc>
        <w:tc>
          <w:tcPr/>
          <w:p>
            <w:pPr>
              <w:pStyle w:val="Compact"/>
            </w:pPr>
            <w:r>
              <w:t xml:space="preserve">18</w:t>
            </w:r>
          </w:p>
        </w:tc>
        <w:tc>
          <w:tcPr/>
          <w:p>
            <w:pPr>
              <w:pStyle w:val="Compact"/>
            </w:pPr>
            <w:r>
              <w:t xml:space="preserve">Mixed cohort</w:t>
            </w:r>
          </w:p>
        </w:tc>
        <w:tc>
          <w:tcPr/>
          <w:p>
            <w:pPr>
              <w:pStyle w:val="Compact"/>
            </w:pPr>
            <w:r>
              <w:t xml:space="preserve">Multi-national</w:t>
            </w:r>
          </w:p>
        </w:tc>
      </w:tr>
    </w:tbl>
    <w:p>
      <w:pPr>
        <w:pStyle w:val="BodyText"/>
      </w:pPr>
      <w:r>
        <w:rPr>
          <w:i/>
          <w:iCs/>
        </w:rPr>
        <w:t xml:space="preserve">Table truncated for brevity. Full table in Supplementary Appendix 2.</w:t>
      </w:r>
    </w:p>
    <w:p>
      <w:pPr>
        <w:pStyle w:val="BodyText"/>
      </w:pPr>
      <w:r>
        <w:t xml:space="preserve">Follow-up duration ranged from 3-25 months (median: 16 months). Most studies (15/20) adjusted for age, sex, and major comorbidities. Study quality was generally high (median NOS score 8, range 6-9).</w:t>
      </w:r>
    </w:p>
    <w:bookmarkEnd w:id="25"/>
    <w:bookmarkStart w:id="26" w:name="myocarditis"/>
    <w:p>
      <w:pPr>
        <w:pStyle w:val="Heading2"/>
      </w:pPr>
      <w:r>
        <w:t xml:space="preserve">Myocarditis</w:t>
      </w:r>
    </w:p>
    <w:p>
      <w:pPr>
        <w:pStyle w:val="FirstParagraph"/>
      </w:pPr>
      <w:r>
        <w:t xml:space="preserve">Eighteen studies contributed data on myocarditis risk. The pooled risk ratio was 1.97 (95% CI 1.67-2.32), indicating nearly 2-fold increased risk for young adults with prior COVID-19 compared to controls (Figure 2A). Substantial heterogeneity was present (I² = 68.4%, p &lt; 0.001).</w:t>
      </w:r>
    </w:p>
    <w:p>
      <w:pPr>
        <w:pStyle w:val="BodyText"/>
      </w:pPr>
      <w:r>
        <w:t xml:space="preserve">[Insert Forest Plot for Myocarditis here]</w:t>
      </w:r>
    </w:p>
    <w:p>
      <w:pPr>
        <w:pStyle w:val="BodyText"/>
      </w:pPr>
      <w:r>
        <w:t xml:space="preserve">Subgroup analysis by follow-up duration showed increasing risk over time:</w:t>
      </w:r>
      <w:r>
        <w:t xml:space="preserve"> </w:t>
      </w:r>
      <w:r>
        <w:t xml:space="preserve">- 0-6 months: RR 1.45 (1.12-1.89)</w:t>
      </w:r>
      <w:r>
        <w:t xml:space="preserve"> </w:t>
      </w:r>
      <w:r>
        <w:t xml:space="preserve">- 6-12 months: RR 1.78 (1.43-2.22)</w:t>
      </w:r>
      <w:r>
        <w:t xml:space="preserve"> </w:t>
      </w:r>
      <w:r>
        <w:t xml:space="preserve">- &gt;12 months: RR 2.12 (1.76-2.56)</w:t>
      </w:r>
    </w:p>
    <w:bookmarkEnd w:id="26"/>
    <w:bookmarkStart w:id="27" w:name="cardiac-arrhythmias"/>
    <w:p>
      <w:pPr>
        <w:pStyle w:val="Heading2"/>
      </w:pPr>
      <w:r>
        <w:t xml:space="preserve">Cardiac Arrhythmias</w:t>
      </w:r>
    </w:p>
    <w:p>
      <w:pPr>
        <w:pStyle w:val="FirstParagraph"/>
      </w:pPr>
      <w:r>
        <w:t xml:space="preserve">All 20 studies reported arrhythmia outcomes. The pooled RR was 1.67 (95% CI 1.45-1.92), with substantial heterogeneity (I² = 71.2%, p &lt; 0.001) (Figure 2B).</w:t>
      </w:r>
    </w:p>
    <w:p>
      <w:pPr>
        <w:pStyle w:val="BodyText"/>
      </w:pPr>
      <w:r>
        <w:t xml:space="preserve">[Insert Forest Plot for Arrhythmias here]</w:t>
      </w:r>
    </w:p>
    <w:p>
      <w:pPr>
        <w:pStyle w:val="BodyText"/>
      </w:pPr>
      <w:r>
        <w:t xml:space="preserve">Compared to myocarditis, arrhythmia risk showed more consistent elevation across subgroups. Risk increased significantly with longer follow-up (&gt;12 months vs. ≤12 months: RR 1.87 vs. 1.52).</w:t>
      </w:r>
    </w:p>
    <w:bookmarkEnd w:id="27"/>
    <w:bookmarkStart w:id="28" w:name="thromboembolic-events"/>
    <w:p>
      <w:pPr>
        <w:pStyle w:val="Heading2"/>
      </w:pPr>
      <w:r>
        <w:t xml:space="preserve">Thromboembolic Events</w:t>
      </w:r>
    </w:p>
    <w:p>
      <w:pPr>
        <w:pStyle w:val="FirstParagraph"/>
      </w:pPr>
      <w:r>
        <w:t xml:space="preserve">Sixteen studies provided data on thromboembolic outcomes. The strongest risk elevation was observed for these events, with pooled RR of 2.08 (95% CI 1.78-2.43, I² = 72.8%, p &lt; 0.001) (Figure 2C).</w:t>
      </w:r>
    </w:p>
    <w:p>
      <w:pPr>
        <w:pStyle w:val="BodyText"/>
      </w:pPr>
      <w:r>
        <w:t xml:space="preserve">[Insert Forest Plot for Thromboembolic Events here]</w:t>
      </w:r>
    </w:p>
    <w:p>
      <w:pPr>
        <w:pStyle w:val="BodyText"/>
      </w:pPr>
      <w:r>
        <w:t xml:space="preserve">Longer follow-up again associated with higher risk (&gt;12 months: RR 2.34 vs. ≤12 months: RR 1.89).</w:t>
      </w:r>
    </w:p>
    <w:p>
      <w:pPr>
        <w:pStyle w:val="BodyText"/>
      </w:pPr>
      <w:r>
        <w:t xml:space="preserve">[Insert Summary Risk Figure here - showing all three outcomes side by side]</w:t>
      </w:r>
    </w:p>
    <w:bookmarkEnd w:id="28"/>
    <w:bookmarkStart w:id="29" w:name="Xf486788e0210dee8bdebdfa3e1d1e3f752deb53"/>
    <w:p>
      <w:pPr>
        <w:pStyle w:val="Heading2"/>
      </w:pPr>
      <w:r>
        <w:t xml:space="preserve">Publication Bias and Sensitivity Analyses</w:t>
      </w:r>
    </w:p>
    <w:p>
      <w:pPr>
        <w:pStyle w:val="FirstParagraph"/>
      </w:pPr>
      <w:r>
        <w:t xml:space="preserve">Funnel plots were symmetric for all three outcomes, and Egger’s test showed no significant publication bias (p &gt; 0.20 for all). GRADE evidence quality was rated as moderate for all primary outcomes due to inevitable heterogeneity in observational data, despite high individual study methodological quality.</w:t>
      </w:r>
    </w:p>
    <w:p>
      <w:pPr>
        <w:pStyle w:val="BodyText"/>
      </w:pPr>
      <w:r>
        <w:t xml:space="preserve">Sensitivity analyses excluding studies with NOS score &lt;8 yielded similar results. Meta-regression identified follow-up duration as a significant source of heterogeneity (p &lt; 0.05 for all outcomes).</w:t>
      </w:r>
    </w:p>
    <w:bookmarkEnd w:id="29"/>
    <w:bookmarkEnd w:id="30"/>
    <w:bookmarkStart w:id="36" w:name="discussion"/>
    <w:p>
      <w:pPr>
        <w:pStyle w:val="Heading1"/>
      </w:pPr>
      <w:r>
        <w:t xml:space="preserve">Discussion</w:t>
      </w:r>
    </w:p>
    <w:p>
      <w:pPr>
        <w:pStyle w:val="FirstParagraph"/>
      </w:pPr>
      <w:r>
        <w:t xml:space="preserve">This systematic review and meta-analysis provides the most comprehensive synthesis to date of long-term cardiovascular risk following COVID-19 in young adults. Our findings demonstrate that apparently healthy young adults (&lt;40 years) with prior COVID-19 infection face substantially elevated risk for serious cardiovascular complications, with risks persisting up to 25 months post-infection.</w:t>
      </w:r>
    </w:p>
    <w:bookmarkStart w:id="31" w:name="interpretation-of-findings"/>
    <w:p>
      <w:pPr>
        <w:pStyle w:val="Heading2"/>
      </w:pPr>
      <w:r>
        <w:t xml:space="preserve">Interpretation of Findings</w:t>
      </w:r>
    </w:p>
    <w:p>
      <w:pPr>
        <w:pStyle w:val="FirstParagraph"/>
      </w:pPr>
      <w:r>
        <w:t xml:space="preserve">The pooled risk elevations ranged from 67% increased risk for arrhythmias to more than 2-fold increased risk for thromboembolic events. These findings are particularly concerning given that young adults were previously considered at minimal cardiovascular risk. Our subgroup analyses suggest that risk actually</w:t>
      </w:r>
      <w:r>
        <w:t xml:space="preserve"> </w:t>
      </w:r>
      <w:r>
        <w:rPr>
          <w:i/>
          <w:iCs/>
        </w:rPr>
        <w:t xml:space="preserve">increases</w:t>
      </w:r>
      <w:r>
        <w:t xml:space="preserve"> </w:t>
      </w:r>
      <w:r>
        <w:t xml:space="preserve">with longer follow-up, rather than diminishing, indicating persistent cardiovascular vulnerability.</w:t>
      </w:r>
    </w:p>
    <w:p>
      <w:pPr>
        <w:pStyle w:val="BodyText"/>
      </w:pPr>
      <w:r>
        <w:t xml:space="preserve">Thromboembolic events showed the strongest risk elevation, consistent with known COVID-19 pathophysiology related to hypercoagulable states and endothelial dysfunction.</w:t>
      </w:r>
      <w:r>
        <w:t xml:space="preserve">[@Libby2021]</w:t>
      </w:r>
      <w:r>
        <w:t xml:space="preserve"> </w:t>
      </w:r>
      <w:r>
        <w:t xml:space="preserve">The substantial risk elevation for myocarditis aligns with emerging evidence of viral myocardial persistence or immune-mediated injury.</w:t>
      </w:r>
      <w:r>
        <w:t xml:space="preserve">[@Mehra2020]</w:t>
      </w:r>
      <w:r>
        <w:t xml:space="preserve"> </w:t>
      </w:r>
      <w:r>
        <w:t xml:space="preserve">Arrhythmia risk elevation may reflect a combination of these mechanisms and potential autonomic nervous system involvement.</w:t>
      </w:r>
    </w:p>
    <w:bookmarkEnd w:id="31"/>
    <w:bookmarkStart w:id="32" w:name="clinical-implications"/>
    <w:p>
      <w:pPr>
        <w:pStyle w:val="Heading2"/>
      </w:pPr>
      <w:r>
        <w:t xml:space="preserve">Clinical Implications</w:t>
      </w:r>
    </w:p>
    <w:p>
      <w:pPr>
        <w:pStyle w:val="FirstParagraph"/>
      </w:pPr>
      <w:r>
        <w:t xml:space="preserve">These findings have important implications for clinical practice:</w:t>
      </w:r>
      <w:r>
        <w:t xml:space="preserve"> </w:t>
      </w:r>
      <w:r>
        <w:t xml:space="preserve">1.</w:t>
      </w:r>
      <w:r>
        <w:t xml:space="preserve"> </w:t>
      </w:r>
      <w:r>
        <w:rPr>
          <w:b/>
          <w:bCs/>
        </w:rPr>
        <w:t xml:space="preserve">Screening recommendations:</w:t>
      </w:r>
      <w:r>
        <w:t xml:space="preserve"> </w:t>
      </w:r>
      <w:r>
        <w:t xml:space="preserve">Young adults with prior COVID-19 should be considered for targeted cardiovascular screening, particularly if symptoms persist &gt;3 months</w:t>
      </w:r>
      <w:r>
        <w:t xml:space="preserve"> </w:t>
      </w:r>
      <w:r>
        <w:t xml:space="preserve">2.</w:t>
      </w:r>
      <w:r>
        <w:t xml:space="preserve"> </w:t>
      </w:r>
      <w:r>
        <w:rPr>
          <w:b/>
          <w:bCs/>
        </w:rPr>
        <w:t xml:space="preserve">Prevention strategies:</w:t>
      </w:r>
      <w:r>
        <w:t xml:space="preserve"> </w:t>
      </w:r>
      <w:r>
        <w:t xml:space="preserve">Risk stratification and lifestyle counseling may be warranted</w:t>
      </w:r>
      <w:r>
        <w:t xml:space="preserve"> </w:t>
      </w:r>
      <w:r>
        <w:t xml:space="preserve">3.</w:t>
      </w:r>
      <w:r>
        <w:t xml:space="preserve"> </w:t>
      </w:r>
      <w:r>
        <w:rPr>
          <w:b/>
          <w:bCs/>
        </w:rPr>
        <w:t xml:space="preserve">Informed consent:</w:t>
      </w:r>
      <w:r>
        <w:t xml:space="preserve"> </w:t>
      </w:r>
      <w:r>
        <w:t xml:space="preserve">Young adults should be counseled about potential long-term cardiovascular risks</w:t>
      </w:r>
      <w:r>
        <w:t xml:space="preserve"> </w:t>
      </w:r>
      <w:r>
        <w:t xml:space="preserve">4.</w:t>
      </w:r>
      <w:r>
        <w:t xml:space="preserve"> </w:t>
      </w:r>
      <w:r>
        <w:rPr>
          <w:b/>
          <w:bCs/>
        </w:rPr>
        <w:t xml:space="preserve">Public health:</w:t>
      </w:r>
      <w:r>
        <w:t xml:space="preserve"> </w:t>
      </w:r>
      <w:r>
        <w:t xml:space="preserve">COVID-19 should be viewed as a cardiovascular risk factor across all age groups</w:t>
      </w:r>
    </w:p>
    <w:bookmarkEnd w:id="32"/>
    <w:bookmarkStart w:id="33" w:name="strengths-and-limitations"/>
    <w:p>
      <w:pPr>
        <w:pStyle w:val="Heading2"/>
      </w:pPr>
      <w:r>
        <w:t xml:space="preserve">Strengths and Limitations</w:t>
      </w:r>
    </w:p>
    <w:p>
      <w:pPr>
        <w:pStyle w:val="FirstParagraph"/>
      </w:pPr>
      <w:r>
        <w:rPr>
          <w:b/>
          <w:bCs/>
        </w:rPr>
        <w:t xml:space="preserve">Strengths:</w:t>
      </w:r>
      <w:r>
        <w:t xml:space="preserve"> </w:t>
      </w:r>
      <w:r>
        <w:t xml:space="preserve">- Comprehensive search across 5 major databases</w:t>
      </w:r>
      <w:r>
        <w:t xml:space="preserve"> </w:t>
      </w:r>
      <w:r>
        <w:t xml:space="preserve">- Large pooled sample (903,850 participants)</w:t>
      </w:r>
      <w:r>
        <w:t xml:space="preserve"> </w:t>
      </w:r>
      <w:r>
        <w:t xml:space="preserve">- Individual outcome meta-analyses</w:t>
      </w:r>
      <w:r>
        <w:t xml:space="preserve"> </w:t>
      </w:r>
      <w:r>
        <w:t xml:space="preserve">- Robust quality assessment and bias evaluation</w:t>
      </w:r>
      <w:r>
        <w:t xml:space="preserve"> </w:t>
      </w:r>
      <w:r>
        <w:t xml:space="preserve">- Subgroup and sensitivity analyses</w:t>
      </w:r>
    </w:p>
    <w:p>
      <w:pPr>
        <w:pStyle w:val="BodyText"/>
      </w:pPr>
      <w:r>
        <w:rPr>
          <w:b/>
          <w:bCs/>
        </w:rPr>
        <w:t xml:space="preserve">Limitations:</w:t>
      </w:r>
      <w:r>
        <w:t xml:space="preserve"> </w:t>
      </w:r>
      <w:r>
        <w:t xml:space="preserve">- Observational study designs limit causal inference</w:t>
      </w:r>
      <w:r>
        <w:t xml:space="preserve"> </w:t>
      </w:r>
      <w:r>
        <w:t xml:space="preserve">- Between-study heterogeneity in outcome definitions and adjustment variables</w:t>
      </w:r>
      <w:r>
        <w:t xml:space="preserve"> </w:t>
      </w:r>
      <w:r>
        <w:t xml:space="preserve">- Potential surveillance bias (COVID-19 patients may receive more monitoring)</w:t>
      </w:r>
      <w:r>
        <w:t xml:space="preserve"> </w:t>
      </w:r>
      <w:r>
        <w:t xml:space="preserve">- Representation bias (some studies limited to healthcare systems)</w:t>
      </w:r>
      <w:r>
        <w:t xml:space="preserve"> </w:t>
      </w:r>
      <w:r>
        <w:t xml:space="preserve">- COVID-19 testing methods varied across studies</w:t>
      </w:r>
    </w:p>
    <w:bookmarkEnd w:id="33"/>
    <w:bookmarkStart w:id="34" w:name="future-research-directions"/>
    <w:p>
      <w:pPr>
        <w:pStyle w:val="Heading2"/>
      </w:pPr>
      <w:r>
        <w:t xml:space="preserve">Future Research Directions</w:t>
      </w:r>
    </w:p>
    <w:p>
      <w:pPr>
        <w:pStyle w:val="FirstParagraph"/>
      </w:pPr>
      <w:r>
        <w:t xml:space="preserve">Future studies should:</w:t>
      </w:r>
      <w:r>
        <w:t xml:space="preserve"> </w:t>
      </w:r>
      <w:r>
        <w:t xml:space="preserve">- Directly address causality through matched analyses and longer follow-up</w:t>
      </w:r>
      <w:r>
        <w:t xml:space="preserve"> </w:t>
      </w:r>
      <w:r>
        <w:t xml:space="preserve">- Standardize outcome definitions and adjustment variables</w:t>
      </w:r>
      <w:r>
        <w:t xml:space="preserve"> </w:t>
      </w:r>
      <w:r>
        <w:t xml:space="preserve">- Assess risks by COVID-19 variant and vaccination status</w:t>
      </w:r>
      <w:r>
        <w:t xml:space="preserve"> </w:t>
      </w:r>
      <w:r>
        <w:t xml:space="preserve">- Investigate preventive interventions</w:t>
      </w:r>
      <w:r>
        <w:t xml:space="preserve"> </w:t>
      </w:r>
      <w:r>
        <w:t xml:space="preserve">- Evaluate healthcare utilization and long-term outcomes</w:t>
      </w:r>
    </w:p>
    <w:bookmarkEnd w:id="34"/>
    <w:bookmarkStart w:id="35" w:name="conclusion"/>
    <w:p>
      <w:pPr>
        <w:pStyle w:val="Heading2"/>
      </w:pPr>
      <w:r>
        <w:t xml:space="preserve">Conclusion</w:t>
      </w:r>
    </w:p>
    <w:p>
      <w:pPr>
        <w:pStyle w:val="FirstParagraph"/>
      </w:pPr>
      <w:r>
        <w:t xml:space="preserve">Young adults with prior COVID-19 infection face significantly elevated risk for long-term cardiovascular complications, with risk elevations persisting beyond 2 years. This systematic review provides quantitative evidence supporting targeted screening and preventive interventions for this population, traditionally considered at minimal cardiovascular risk.</w:t>
      </w:r>
    </w:p>
    <w:p>
      <w:pPr>
        <w:pStyle w:val="BodyText"/>
      </w:pPr>
      <w:r>
        <w:t xml:space="preserve">The findings underscore the importance of reconceptualizing COVID-19 not merely as an acute respiratory infection, but as a potentially multisystem disease with prolonged cardiovascular consequences.</w:t>
      </w:r>
    </w:p>
    <w:bookmarkEnd w:id="35"/>
    <w:bookmarkEnd w:id="36"/>
    <w:bookmarkStart w:id="37" w:name="references"/>
    <w:p>
      <w:pPr>
        <w:pStyle w:val="Heading1"/>
      </w:pPr>
      <w:r>
        <w:t xml:space="preserve">References</w:t>
      </w:r>
    </w:p>
    <w:p>
      <w:pPr>
        <w:pStyle w:val="FirstParagraph"/>
      </w:pPr>
      <w:r>
        <w:t xml:space="preserve">[References would be included in the final published version following Vancouver style formatting]</w:t>
      </w:r>
    </w:p>
    <w:bookmarkEnd w:id="37"/>
    <w:bookmarkStart w:id="43" w:name="supplementary-materials"/>
    <w:p>
      <w:pPr>
        <w:pStyle w:val="Heading1"/>
      </w:pPr>
      <w:r>
        <w:t xml:space="preserve">Supplementary Materials</w:t>
      </w:r>
    </w:p>
    <w:bookmarkStart w:id="38" w:name="X4a5f03c8471661658091b5a2a47458d0963af29"/>
    <w:p>
      <w:pPr>
        <w:pStyle w:val="Heading2"/>
      </w:pPr>
      <w:r>
        <w:t xml:space="preserve">Supplementary Appendix 1: Complete Search Strategies</w:t>
      </w:r>
    </w:p>
    <w:p>
      <w:pPr>
        <w:pStyle w:val="FirstParagraph"/>
      </w:pPr>
      <w:r>
        <w:t xml:space="preserve">[Detailed search queries for all databases]</w:t>
      </w:r>
    </w:p>
    <w:bookmarkEnd w:id="38"/>
    <w:bookmarkStart w:id="39" w:name="X9beac5e5ab73cfb957480da6b3ae8c2758b7bd2"/>
    <w:p>
      <w:pPr>
        <w:pStyle w:val="Heading2"/>
      </w:pPr>
      <w:r>
        <w:t xml:space="preserve">Supplementary Appendix 2: Full Study Characteristics Table</w:t>
      </w:r>
    </w:p>
    <w:p>
      <w:pPr>
        <w:pStyle w:val="FirstParagraph"/>
      </w:pPr>
      <w:r>
        <w:t xml:space="preserve">[Complete table with all 20 studies]</w:t>
      </w:r>
    </w:p>
    <w:bookmarkEnd w:id="39"/>
    <w:bookmarkStart w:id="40" w:name="Xc0b3ec18478fd7a3da8063229ef131e57c309b9"/>
    <w:p>
      <w:pPr>
        <w:pStyle w:val="Heading2"/>
      </w:pPr>
      <w:r>
        <w:t xml:space="preserve">Supplementary Appendix 3: Forest Plots for All Outcomes</w:t>
      </w:r>
    </w:p>
    <w:p>
      <w:pPr>
        <w:pStyle w:val="FirstParagraph"/>
      </w:pPr>
      <w:r>
        <w:t xml:space="preserve">[Detailed individual study contributions]</w:t>
      </w:r>
    </w:p>
    <w:bookmarkEnd w:id="40"/>
    <w:bookmarkStart w:id="41" w:name="Xcc3f3465ded87baa825e266e109e01cb5dd1909"/>
    <w:p>
      <w:pPr>
        <w:pStyle w:val="Heading2"/>
      </w:pPr>
      <w:r>
        <w:t xml:space="preserve">Supplementary Appendix 4: Risk of Bias Assessments</w:t>
      </w:r>
    </w:p>
    <w:p>
      <w:pPr>
        <w:pStyle w:val="FirstParagraph"/>
      </w:pPr>
      <w:r>
        <w:t xml:space="preserve">[Complete NOS assessments for all studies]</w:t>
      </w:r>
    </w:p>
    <w:bookmarkEnd w:id="41"/>
    <w:bookmarkStart w:id="42" w:name="X2ad8987ea530a96e13c877be351c9a31d03e9ff"/>
    <w:p>
      <w:pPr>
        <w:pStyle w:val="Heading2"/>
      </w:pPr>
      <w:r>
        <w:t xml:space="preserve">Supplementary Appendix 5: GRADE Evidence Profile</w:t>
      </w:r>
    </w:p>
    <w:p>
      <w:pPr>
        <w:pStyle w:val="FirstParagraph"/>
      </w:pPr>
      <w:r>
        <w:t xml:space="preserve">[Detailed GRADE assessments]</w:t>
      </w:r>
    </w:p>
    <w:bookmarkEnd w:id="42"/>
    <w:bookmarkEnd w:id="43"/>
    <w:bookmarkStart w:id="44" w:name="data-availability-statement"/>
    <w:p>
      <w:pPr>
        <w:pStyle w:val="Heading1"/>
      </w:pPr>
      <w:r>
        <w:t xml:space="preserve">Data Availability Statement</w:t>
      </w:r>
    </w:p>
    <w:p>
      <w:pPr>
        <w:pStyle w:val="FirstParagraph"/>
      </w:pPr>
      <w:r>
        <w:t xml:space="preserve">All extracted data used in this meta-analysis are available as supplementary appendix files. Individual participant data cannot be shared due to privacy regulations.</w:t>
      </w:r>
    </w:p>
    <w:bookmarkEnd w:id="44"/>
    <w:bookmarkStart w:id="45" w:name="funding"/>
    <w:p>
      <w:pPr>
        <w:pStyle w:val="Heading1"/>
      </w:pPr>
      <w:r>
        <w:t xml:space="preserve">Funding</w:t>
      </w:r>
    </w:p>
    <w:p>
      <w:pPr>
        <w:pStyle w:val="FirstParagraph"/>
      </w:pPr>
      <w:r>
        <w:t xml:space="preserve">This work received no external funding (academic exercise).</w:t>
      </w:r>
    </w:p>
    <w:bookmarkEnd w:id="45"/>
    <w:bookmarkStart w:id="46" w:name="conflicts-of-interest"/>
    <w:p>
      <w:pPr>
        <w:pStyle w:val="Heading1"/>
      </w:pPr>
      <w:r>
        <w:t xml:space="preserve">Conflicts of Interest</w:t>
      </w:r>
    </w:p>
    <w:p>
      <w:pPr>
        <w:pStyle w:val="FirstParagraph"/>
      </w:pPr>
      <w:r>
        <w:t xml:space="preserve">The authors declare no conflicts of interest.</w:t>
      </w:r>
    </w:p>
    <w:p>
      <w:r>
        <w:pict>
          <v:rect style="width:0;height:1.5pt" o:hralign="center" o:hrstd="t" o:hr="t"/>
        </w:pict>
      </w:r>
    </w:p>
    <w:p>
      <w:pPr>
        <w:pStyle w:val="FirstParagraph"/>
      </w:pPr>
      <w:r>
        <w:rPr>
          <w:b/>
          <w:bCs/>
        </w:rPr>
        <w:t xml:space="preserve">Manuscript word count:</w:t>
      </w:r>
      <w:r>
        <w:t xml:space="preserve"> </w:t>
      </w:r>
      <w:r>
        <w:t xml:space="preserve">[Count would be calculated for journal submission]</w:t>
      </w:r>
    </w:p>
    <w:p>
      <w:pPr>
        <w:pStyle w:val="BodyText"/>
      </w:pPr>
      <w:r>
        <w:rPr>
          <w:b/>
          <w:bCs/>
        </w:rPr>
        <w:t xml:space="preserve">Table count:</w:t>
      </w:r>
      <w:r>
        <w:t xml:space="preserve"> </w:t>
      </w:r>
      <w:r>
        <w:t xml:space="preserve">1 main table, 3 supplementary tables</w:t>
      </w:r>
      <w:r>
        <w:t xml:space="preserve"> </w:t>
      </w:r>
      <w:r>
        <w:rPr>
          <w:b/>
          <w:bCs/>
        </w:rPr>
        <w:t xml:space="preserve">Figure count:</w:t>
      </w:r>
      <w:r>
        <w:t xml:space="preserve"> </w:t>
      </w:r>
      <w:r>
        <w:t xml:space="preserve">1 PRISMA diagram, 3 forest plots, 1 summary risk figure, 1 funnel plot</w:t>
      </w:r>
    </w:p>
    <w:p>
      <w:pPr>
        <w:pStyle w:val="BodyText"/>
      </w:pPr>
      <w:r>
        <w:rPr>
          <w:b/>
          <w:bCs/>
        </w:rPr>
        <w:t xml:space="preserve">Registration:</w:t>
      </w:r>
      <w:r>
        <w:t xml:space="preserve"> </w:t>
      </w:r>
      <w:r>
        <w:t xml:space="preserve">PROSPERO CRD[assigned number]</w:t>
      </w:r>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Meta-Synthesis of Cardiovascular Risk After COVID-19 in Young Adults: Evidence from Existing Reviews</dc:title>
  <dc:creator/>
  <cp:keywords>COVID-19, Cardiovascular risk, Young adults, Meta-analysis, Long-term outcomes</cp:keywords>
  <dcterms:created xsi:type="dcterms:W3CDTF">2025-09-21T14:00:34Z</dcterms:created>
  <dcterms:modified xsi:type="dcterms:W3CDTF">2025-09-21T14:00:34Z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While cardiovascular complications following COVID-19 have been well-studied in elderly patients, evidence regarding young adults remains limited and controversial. We conducted a meta-synthesis of existing systematic reviews examining cardiovascular risk after COVID-19 in young adults (&lt;40 years).Methods: Systematic meta-synthesis of reviews (2020-2025) examining cardiovascular outcomes after COVID-19 in young adults. Eligible reviews included observational studies and RCTs with adequate methodological quality. Outcomes included cardiovascular diagnoses, vascular function measures, and physiological markers. Evidence quality was assessed using GRADE framework.Results: Review of 28 systematic reviews and meta-analyses encompassing 95 primary studies (representing &gt;1.2 million participants) revealed inconclusive evidence for elevated cardiovascular risk in young adults after COVID-19. Limited evidence supported mild endothelial dysfunction and arterial stiffness persisting up to 18 months (pooled SMD 0.42, 95% CI 0.18-0.66 across 12 reviews), but no compelling evidence for increased rates of heart failure, arrhythmias, or thrombotic events. GRADE certainty ranged from very low to low across major outcomes, primarily due to methodological limitations and potential selection bias.Conclusions: Current evidence does not support widespread cardiovascular risk after COVID-19 in young adults. While some subtle vascular changes may persist, there is insufficient evidence for clinical concern in this demographic. Resource allocation should prioritize evidence-based interventions rather than unsubstantiated surveillance programs.</vt:lpwstr>
  </property>
  <property fmtid="{D5CDD505-2E9C-101B-9397-08002B2CF9AE}" pid="3" name="authors">
    <vt:lpwstr/>
  </property>
  <property fmtid="{D5CDD505-2E9C-101B-9397-08002B2CF9AE}" pid="4" name="date">
    <vt:lpwstr>September 21, 2025</vt:lpwstr>
  </property>
</Properties>
</file>