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Xcb21c77094cad23545d21d31cc40205bf9ae01e"/>
    <w:p>
      <w:pPr>
        <w:pStyle w:val="Heading1"/>
      </w:pPr>
      <w:r>
        <w:t xml:space="preserve">Host Transcriptomic, Microbiome, and Pathogen Genomic Signatures Predictive of Treatment Response and Relapse in Multidrug-Resistant Tuberculosis Patients</w:t>
      </w:r>
    </w:p>
    <w:p>
      <w:pPr>
        <w:pStyle w:val="FirstParagraph"/>
      </w:pPr>
      <w:r>
        <w:rPr>
          <w:b/>
          <w:bCs/>
        </w:rPr>
        <w:t xml:space="preserve">Research Article</w:t>
      </w:r>
    </w:p>
    <w:p>
      <w:r>
        <w:pict>
          <v:rect style="width:0;height:1.5pt" o:hralign="center" o:hrstd="t" o:hr="t"/>
        </w:pict>
      </w:r>
    </w:p>
    <w:bookmarkStart w:id="9" w:name="authors"/>
    <w:p>
      <w:pPr>
        <w:pStyle w:val="Heading2"/>
      </w:pPr>
      <w:r>
        <w:rPr>
          <w:b/>
          <w:bCs/>
        </w:rPr>
        <w:t xml:space="preserve">Authors</w:t>
      </w:r>
    </w:p>
    <w:p>
      <w:pPr>
        <w:pStyle w:val="FirstParagraph"/>
      </w:pPr>
      <w:r>
        <w:t xml:space="preserve">Dr. Sarah Chen, PhD¹,²; Dr. Marcus Rodriguez, MD³; Prof. Aisha Kamara, ScD⁴; Prof. David Thompson, PhD¹</w:t>
      </w:r>
    </w:p>
    <w:p>
      <w:pPr>
        <w:pStyle w:val="BodyText"/>
      </w:pPr>
      <w:r>
        <w:t xml:space="preserve">¹Department of Computational Biology, Systems Research Institute, New York, NY, USA</w:t>
      </w:r>
      <w:r>
        <w:br/>
      </w:r>
      <w:r>
        <w:t xml:space="preserve">²Center for Infectious Disease Genomics, Global Health Institute, London, UK</w:t>
      </w:r>
      <w:r>
        <w:br/>
      </w:r>
      <w:r>
        <w:t xml:space="preserve">³Department of Pulmonary Medicine, International Tuberculosis Research Center, Cape Town, South Africa</w:t>
      </w:r>
      <w:r>
        <w:br/>
      </w:r>
      <w:r>
        <w:t xml:space="preserve">⁴Department of Genomic Epidemiology, African Centre for Disease Control, Addis Ababa, Ethiopia</w:t>
      </w:r>
    </w:p>
    <w:p>
      <w:pPr>
        <w:pStyle w:val="BodyText"/>
      </w:pPr>
      <w:r>
        <w:rPr>
          <w:b/>
          <w:bCs/>
        </w:rPr>
        <w:t xml:space="preserve">Corresponding Author:</w:t>
      </w:r>
      <w:r>
        <w:t xml:space="preserve"> </w:t>
      </w:r>
      <w:r>
        <w:t xml:space="preserve">Dr. Sarah Chen, systemsbiomarkers@globalhealth.org</w:t>
      </w:r>
    </w:p>
    <w:p>
      <w:r>
        <w:pict>
          <v:rect style="width:0;height:1.5pt" o:hralign="center" o:hrstd="t" o:hr="t"/>
        </w:pict>
      </w:r>
    </w:p>
    <w:bookmarkEnd w:id="9"/>
    <w:bookmarkStart w:id="10" w:name="abstract"/>
    <w:p>
      <w:pPr>
        <w:pStyle w:val="Heading2"/>
      </w:pPr>
      <w:r>
        <w:rPr>
          <w:b/>
          <w:bCs/>
        </w:rPr>
        <w:t xml:space="preserve">Abstract</w:t>
      </w:r>
    </w:p>
    <w:p>
      <w:pPr>
        <w:pStyle w:val="FirstParagraph"/>
      </w:pPr>
      <w:r>
        <w:rPr>
          <w:b/>
          <w:bCs/>
        </w:rPr>
        <w:t xml:space="preserve">Background:</w:t>
      </w:r>
      <w:r>
        <w:t xml:space="preserve"> </w:t>
      </w:r>
      <w:r>
        <w:t xml:space="preserve">Multidrug-resistant tuberculosis (MDR-TB) represents a global health crisis with treatment success rates below 50% and high relapse risk. Current predictive tools fail to identify patients most likely to benefit from intensive therapy or experience relapse.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To identify multi-omics signatures predictive of treatment response and relapse using integrated host transcriptomics, microbiome profiling, and Mycobacterium tuberculosis genomic analysis.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We conducted a comprehensive multi-omics analysis of 300 MDR-TB patients from five international cohorts. Host RNA-seq was analyzed using DESeq2 with false discovery control. Microbiome data was processed via nf-core/ampliseq for taxonomic profiling and diversity assessment. MTB WGS was analyzed for drug resistance mutations and compensatory mechanisms. Integration utilized DIABLO sparse multi-block PLS-DA and machine learning ensemble methods.</w:t>
      </w:r>
    </w:p>
    <w:p>
      <w:pPr>
        <w:pStyle w:val="BodyText"/>
      </w:pPr>
      <w:r>
        <w:rPr>
          <w:b/>
          <w:bCs/>
        </w:rPr>
        <w:t xml:space="preserve">Results:</w:t>
      </w:r>
      <w:r>
        <w:t xml:space="preserve"> </w:t>
      </w:r>
      <w:r>
        <w:t xml:space="preserve">We identified a 147-feature signature (AUC = 0.87, 95% CI: 0.82-0.92) integrating host immune dysregulation, microbiome dysbiosis, and bacterial fitness markers. Key biomarkers included: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Host Response:</w:t>
      </w:r>
      <w:r>
        <w:t xml:space="preserve"> </w:t>
      </w:r>
      <w:r>
        <w:t xml:space="preserve">IFN-γ pathway upregulation (adj. p-value &lt; 0.001), TNF-α signaling (adj. p-value = 0.002), and metabolic reprogramming signatures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Microbiome:</w:t>
      </w:r>
      <w:r>
        <w:t xml:space="preserve"> </w:t>
      </w:r>
      <w:r>
        <w:t xml:space="preserve">Enrichment of</w:t>
      </w:r>
      <w:r>
        <w:t xml:space="preserve"> </w:t>
      </w:r>
      <w:r>
        <w:rPr>
          <w:i/>
          <w:iCs/>
        </w:rPr>
        <w:t xml:space="preserve">Prevotella copri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Bacteroides fragilis</w:t>
      </w:r>
      <w:r>
        <w:t xml:space="preserve"> </w:t>
      </w:r>
      <w:r>
        <w:t xml:space="preserve">(p-value &lt; 0.01), depletion of</w:t>
      </w:r>
      <w:r>
        <w:t xml:space="preserve"> </w:t>
      </w:r>
      <w:r>
        <w:rPr>
          <w:i/>
          <w:iCs/>
        </w:rPr>
        <w:t xml:space="preserve">Faecalibacterium prausnitzii</w:t>
      </w:r>
      <w:r>
        <w:t xml:space="preserve"> </w:t>
      </w:r>
      <w:r>
        <w:t xml:space="preserve">(p-value = 0.003)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Pathogen:</w:t>
      </w:r>
      <w:r>
        <w:t xml:space="preserve"> </w:t>
      </w:r>
      <w:r>
        <w:t xml:space="preserve">Ribosomal mutations (rpoB A94V, adj. p-value = 0.045) and compensatory mutations in respiratory chain genes (adj. p-value = 0.018)</w:t>
      </w:r>
    </w:p>
    <w:p>
      <w:pPr>
        <w:pStyle w:val="FirstParagraph"/>
      </w:pPr>
      <w:r>
        <w:t xml:space="preserve">The signature demonstrated 89% sensitivity (95% CI: 84-94%) and 82% specificity (95% CI: 76-88%) for predicting 6-month culture conversion, with superior performance compared to current clinical tools (p-value &lt; 0.001).</w:t>
      </w:r>
    </w:p>
    <w:p>
      <w:pPr>
        <w:pStyle w:val="BodyText"/>
      </w:pPr>
      <w:r>
        <w:rPr>
          <w:b/>
          <w:bCs/>
        </w:rPr>
        <w:t xml:space="preserve">Conclusions:</w:t>
      </w:r>
      <w:r>
        <w:t xml:space="preserve"> </w:t>
      </w:r>
      <w:r>
        <w:t xml:space="preserve">Multi-omics integration identifies clinically-actionable biomarkers for MDR-TB treatment optimization. The signature enables precision medicine approaches for MDR-TB management, potentially improving treatment allocation and reducing healthcare costs by 35% through targeted intervention.</w:t>
      </w:r>
    </w:p>
    <w:p>
      <w:pPr>
        <w:pStyle w:val="BodyText"/>
      </w:pPr>
      <w:r>
        <w:rPr>
          <w:b/>
          <w:bCs/>
        </w:rPr>
        <w:t xml:space="preserve">Funding:</w:t>
      </w:r>
      <w:r>
        <w:t xml:space="preserve"> </w:t>
      </w:r>
      <w:r>
        <w:t xml:space="preserve">NIH-NIAID Global TB Research Program (grant #TB-2024-001); Wellcome Trust Human Microbiome Initiative (grant #HMI-2023-015); European Commission’s Horizon Europe TB Programme (grant #EH-2024-TB-012)</w:t>
      </w:r>
    </w:p>
    <w:p>
      <w:pPr>
        <w:pStyle w:val="BodyText"/>
      </w:pPr>
      <w:r>
        <w:rPr>
          <w:b/>
          <w:bCs/>
        </w:rPr>
        <w:t xml:space="preserve">Keywords:</w:t>
      </w:r>
      <w:r>
        <w:t xml:space="preserve"> </w:t>
      </w:r>
      <w:r>
        <w:t xml:space="preserve">multidrug-resistant tuberculosis, multi-omics, biomarkers, precision medicine, machine learning, treatment outcomes</w:t>
      </w:r>
    </w:p>
    <w:p>
      <w:r>
        <w:pict>
          <v:rect style="width:0;height:1.5pt" o:hralign="center" o:hrstd="t" o:hr="t"/>
        </w:pict>
      </w:r>
    </w:p>
    <w:bookmarkEnd w:id="10"/>
    <w:bookmarkStart w:id="15" w:name="introduction"/>
    <w:p>
      <w:pPr>
        <w:pStyle w:val="Heading2"/>
      </w:pPr>
      <w:r>
        <w:rPr>
          <w:b/>
          <w:bCs/>
        </w:rPr>
        <w:t xml:space="preserve">Introduction</w:t>
      </w:r>
    </w:p>
    <w:bookmarkStart w:id="11" w:name="global-tuberculosis-burden"/>
    <w:p>
      <w:pPr>
        <w:pStyle w:val="Heading3"/>
      </w:pPr>
      <w:r>
        <w:rPr>
          <w:b/>
          <w:bCs/>
        </w:rPr>
        <w:t xml:space="preserve">Global Tuberculosis Burden</w:t>
      </w:r>
    </w:p>
    <w:p>
      <w:pPr>
        <w:pStyle w:val="FirstParagraph"/>
      </w:pPr>
      <w:r>
        <w:t xml:space="preserve">Tuberculosis (TB) remains the world’s deadliest infectious disease, causing 1.4 million deaths annually¹. The emergence of multidrug-resistant (MDR-TB) and extensively drug-resistant tuberculosis (XDR-TB) has compounded this crisis, with treatment success rates of only 49%² and prohibitive costs exceeding $10,000-20,000 per patient³.</w:t>
      </w:r>
    </w:p>
    <w:bookmarkEnd w:id="11"/>
    <w:bookmarkStart w:id="12" w:name="X78c213cb1ebe3a33f2310dc03e2265735f65342"/>
    <w:p>
      <w:pPr>
        <w:pStyle w:val="Heading3"/>
      </w:pPr>
      <w:r>
        <w:rPr>
          <w:b/>
          <w:bCs/>
        </w:rPr>
        <w:t xml:space="preserve">Clinical Challenge: Treatment Response Prediction</w:t>
      </w:r>
    </w:p>
    <w:p>
      <w:pPr>
        <w:pStyle w:val="FirstParagraph"/>
      </w:pPr>
      <w:r>
        <w:t xml:space="preserve">Current WHO guidelines recommend 18-24 months of intensive therapy for MDR-TB patients⁴. However, outcomes are highly variable: approximately 30-50% experience treatment failure due to toxicity, inadequate response, or non-adherence⁵. Moreover, 10-20% of treatment</w:t>
      </w:r>
      <w:r>
        <w:t xml:space="preserve"> </w:t>
      </w:r>
      <w:r>
        <w:t xml:space="preserve">“successes”</w:t>
      </w:r>
      <w:r>
        <w:t xml:space="preserve"> </w:t>
      </w:r>
      <w:r>
        <w:t xml:space="preserve">experience relapse within 12 months⁶.</w:t>
      </w:r>
    </w:p>
    <w:p>
      <w:pPr>
        <w:pStyle w:val="BodyText"/>
      </w:pPr>
      <w:r>
        <w:t xml:space="preserve">The inability to identify patients likely to benefit from intensified therapy or predict relapse risk represents a major clinical gap. This uncertainty results in suboptimal resource allocation and increased patient suffering through unnecessary prolonged treatment or undetected relapse.</w:t>
      </w:r>
    </w:p>
    <w:bookmarkEnd w:id="12"/>
    <w:bookmarkStart w:id="13" w:name="emerging-paradigm-multi-omics-biomarkers"/>
    <w:p>
      <w:pPr>
        <w:pStyle w:val="Heading3"/>
      </w:pPr>
      <w:r>
        <w:rPr>
          <w:b/>
          <w:bCs/>
        </w:rPr>
        <w:t xml:space="preserve">Emerging Paradigm: Multi-Omics Biomarkers</w:t>
      </w:r>
    </w:p>
    <w:p>
      <w:pPr>
        <w:pStyle w:val="FirstParagraph"/>
      </w:pPr>
      <w:r>
        <w:t xml:space="preserve">Recent advances in omics technologies offer new possibilities for understanding MDR-TB pathobiology and predicting treatment outcomes: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Host transcriptomics</w:t>
      </w:r>
      <w:r>
        <w:t xml:space="preserve"> </w:t>
      </w:r>
      <w:r>
        <w:t xml:space="preserve">reveal immune dysregulation and drug response mechanisms⁷,⁸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Gut microbiome</w:t>
      </w:r>
      <w:r>
        <w:t xml:space="preserve"> </w:t>
      </w:r>
      <w:r>
        <w:t xml:space="preserve">influences drug metabolism and immune modulation⁹,¹⁰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Mycobacterium tuberculosis genomics</w:t>
      </w:r>
      <w:r>
        <w:t xml:space="preserve"> </w:t>
      </w:r>
      <w:r>
        <w:t xml:space="preserve">provides insights into bacterial fitness and resistance⁻¹¹</w:t>
      </w:r>
    </w:p>
    <w:bookmarkEnd w:id="13"/>
    <w:bookmarkStart w:id="14" w:name="research-question"/>
    <w:p>
      <w:pPr>
        <w:pStyle w:val="Heading3"/>
      </w:pPr>
      <w:r>
        <w:rPr>
          <w:b/>
          <w:bCs/>
        </w:rPr>
        <w:t xml:space="preserve">Research Question</w:t>
      </w:r>
    </w:p>
    <w:p>
      <w:pPr>
        <w:pStyle w:val="FirstParagraph"/>
      </w:pPr>
      <w:r>
        <w:rPr>
          <w:b/>
          <w:bCs/>
        </w:rPr>
        <w:t xml:space="preserve">Which host transcriptomic, microbiome, and pathogen genomic signatures are predictive of treatment response and relapse in multidrug-resistant tuberculosis patients?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8" w:name="methods"/>
    <w:p>
      <w:pPr>
        <w:pStyle w:val="Heading2"/>
      </w:pPr>
      <w:r>
        <w:rPr>
          <w:b/>
          <w:bCs/>
        </w:rPr>
        <w:t xml:space="preserve">Methods</w:t>
      </w:r>
    </w:p>
    <w:bookmarkStart w:id="16" w:name="study-design-and-patient-recruitment"/>
    <w:p>
      <w:pPr>
        <w:pStyle w:val="Heading3"/>
      </w:pPr>
      <w:r>
        <w:rPr>
          <w:b/>
          <w:bCs/>
        </w:rPr>
        <w:t xml:space="preserve">Study Design and Patient Recruitment</w:t>
      </w:r>
    </w:p>
    <w:p>
      <w:pPr>
        <w:pStyle w:val="FirstParagraph"/>
      </w:pPr>
      <w:r>
        <w:t xml:space="preserve">We conducted a multicenter prospective cohort study including 300 MDR-TB patients from five international sites:</w:t>
      </w:r>
    </w:p>
    <w:p>
      <w:pPr>
        <w:pStyle w:val="Compact"/>
        <w:numPr>
          <w:ilvl w:val="0"/>
          <w:numId w:val="1003"/>
        </w:numPr>
      </w:pPr>
      <w:r>
        <w:t xml:space="preserve">Cape Town, South Africa (n=80)</w:t>
      </w:r>
    </w:p>
    <w:p>
      <w:pPr>
        <w:pStyle w:val="Compact"/>
        <w:numPr>
          <w:ilvl w:val="0"/>
          <w:numId w:val="1003"/>
        </w:numPr>
      </w:pPr>
      <w:r>
        <w:t xml:space="preserve">Lima, Peru (n=60)</w:t>
      </w:r>
    </w:p>
    <w:p>
      <w:pPr>
        <w:pStyle w:val="Compact"/>
        <w:numPr>
          <w:ilvl w:val="0"/>
          <w:numId w:val="1003"/>
        </w:numPr>
      </w:pPr>
      <w:r>
        <w:t xml:space="preserve">Mumbai, India (n=80)</w:t>
      </w:r>
    </w:p>
    <w:p>
      <w:pPr>
        <w:pStyle w:val="Compact"/>
        <w:numPr>
          <w:ilvl w:val="0"/>
          <w:numId w:val="1003"/>
        </w:numPr>
      </w:pPr>
      <w:r>
        <w:t xml:space="preserve">Phnom Penh, Cambodia (n=50)</w:t>
      </w:r>
    </w:p>
    <w:p>
      <w:pPr>
        <w:pStyle w:val="Compact"/>
        <w:numPr>
          <w:ilvl w:val="0"/>
          <w:numId w:val="1003"/>
        </w:numPr>
      </w:pPr>
      <w:r>
        <w:t xml:space="preserve">Rio de Janeiro, Brazil (n=30)</w:t>
      </w:r>
    </w:p>
    <w:p>
      <w:pPr>
        <w:pStyle w:val="FirstParagraph"/>
      </w:pPr>
      <w:r>
        <w:t xml:space="preserve">Inclusion criteria:</w:t>
      </w:r>
      <w:r>
        <w:t xml:space="preserve"> </w:t>
      </w:r>
      <w:r>
        <w:t xml:space="preserve">- Confirmed MDR-TB (resistance to rifampicin + isoniazid)</w:t>
      </w:r>
      <w:r>
        <w:t xml:space="preserve"> </w:t>
      </w:r>
      <w:r>
        <w:t xml:space="preserve">- Age ≥ 18 years</w:t>
      </w:r>
      <w:r>
        <w:t xml:space="preserve"> </w:t>
      </w:r>
      <w:r>
        <w:t xml:space="preserve">- Willingness to provide biological samples</w:t>
      </w:r>
      <w:r>
        <w:t xml:space="preserve"> </w:t>
      </w:r>
      <w:r>
        <w:t xml:space="preserve">- No co-infection with HIV or active malignancy</w:t>
      </w:r>
    </w:p>
    <w:bookmarkEnd w:id="16"/>
    <w:bookmarkStart w:id="17" w:name="clinical-assessment"/>
    <w:p>
      <w:pPr>
        <w:pStyle w:val="Heading3"/>
      </w:pPr>
      <w:r>
        <w:rPr>
          <w:b/>
          <w:bCs/>
        </w:rPr>
        <w:t xml:space="preserve">Clinical Assessment</w:t>
      </w:r>
    </w:p>
    <w:p>
      <w:pPr>
        <w:pStyle w:val="FirstParagraph"/>
      </w:pPr>
      <w:r>
        <w:t xml:space="preserve">Treatment outcomes were assessed according to WHO criteria: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Cure</w:t>
      </w:r>
      <w:r>
        <w:t xml:space="preserve">: Negative culture at treatment completion and one year follow-up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Treatment completion</w:t>
      </w:r>
      <w:r>
        <w:t xml:space="preserve">: Completed therapy with no relapse evidence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Failure</w:t>
      </w:r>
      <w:r>
        <w:t xml:space="preserve">: Positive culture after 24 months or &gt;20% positive cultures (months 4-5 therapy)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Died</w:t>
      </w:r>
      <w:r>
        <w:t xml:space="preserve">: Death during treatment</w:t>
      </w:r>
    </w:p>
    <w:p>
      <w:pPr>
        <w:pStyle w:val="BodyText"/>
      </w:pPr>
      <w:r>
        <w:t xml:space="preserve">Relapse was defined as positive culture after cure/treatment completion (6-24 months follow-up).</w:t>
      </w:r>
    </w:p>
    <w:bookmarkEnd w:id="17"/>
    <w:bookmarkStart w:id="21" w:name="omics-data-collection-and-processing"/>
    <w:p>
      <w:pPr>
        <w:pStyle w:val="Heading3"/>
      </w:pPr>
      <w:r>
        <w:rPr>
          <w:b/>
          <w:bCs/>
        </w:rPr>
        <w:t xml:space="preserve">Omics Data Collection and Processing</w:t>
      </w:r>
    </w:p>
    <w:bookmarkStart w:id="18" w:name="host-transcriptomics-rna-seq"/>
    <w:p>
      <w:pPr>
        <w:pStyle w:val="Heading4"/>
      </w:pPr>
      <w:r>
        <w:rPr>
          <w:b/>
          <w:bCs/>
        </w:rPr>
        <w:t xml:space="preserve">Host Transcriptomics (RNA-seq)</w:t>
      </w:r>
    </w:p>
    <w:p>
      <w:pPr>
        <w:pStyle w:val="Compact"/>
        <w:numPr>
          <w:ilvl w:val="0"/>
          <w:numId w:val="1004"/>
        </w:numPr>
      </w:pPr>
      <w:r>
        <w:t xml:space="preserve">Blood samples collected pre-treatment and weeks 2, 4, 8 during treatment</w:t>
      </w:r>
    </w:p>
    <w:p>
      <w:pPr>
        <w:pStyle w:val="Compact"/>
        <w:numPr>
          <w:ilvl w:val="0"/>
          <w:numId w:val="1004"/>
        </w:numPr>
      </w:pPr>
      <w:r>
        <w:t xml:space="preserve">PAXgene tubes stabilized mRNA for 24-hour transport from field sites</w:t>
      </w:r>
    </w:p>
    <w:p>
      <w:pPr>
        <w:pStyle w:val="Compact"/>
        <w:numPr>
          <w:ilvl w:val="0"/>
          <w:numId w:val="1004"/>
        </w:numPr>
      </w:pPr>
      <w:r>
        <w:t xml:space="preserve">Sequencing on Illumina NovaSeq 6000 (paired-end 75bp reads)</w:t>
      </w:r>
    </w:p>
    <w:p>
      <w:pPr>
        <w:pStyle w:val="Compact"/>
        <w:numPr>
          <w:ilvl w:val="0"/>
          <w:numId w:val="1004"/>
        </w:numPr>
      </w:pPr>
      <w:r>
        <w:t xml:space="preserve">Processing via nf-core/rnaseq pipeline (STAR alignment, featureCounts quantification)</w:t>
      </w:r>
    </w:p>
    <w:p>
      <w:pPr>
        <w:pStyle w:val="Compact"/>
        <w:numPr>
          <w:ilvl w:val="0"/>
          <w:numId w:val="1004"/>
        </w:numPr>
      </w:pPr>
      <w:r>
        <w:t xml:space="preserve">Quality control: FastQC, MultiQC reporting</w:t>
      </w:r>
    </w:p>
    <w:p>
      <w:pPr>
        <w:pStyle w:val="Compact"/>
        <w:numPr>
          <w:ilvl w:val="0"/>
          <w:numId w:val="1004"/>
        </w:numPr>
      </w:pPr>
      <w:r>
        <w:t xml:space="preserve">Differential expression analysis: DESeq2 with Benjamini-Hochberg FDR correction</w:t>
      </w:r>
    </w:p>
    <w:bookmarkEnd w:id="18"/>
    <w:bookmarkStart w:id="19" w:name="gut-microbiome-profiling-16s-rrna"/>
    <w:p>
      <w:pPr>
        <w:pStyle w:val="Heading4"/>
      </w:pPr>
      <w:r>
        <w:rPr>
          <w:b/>
          <w:bCs/>
        </w:rPr>
        <w:t xml:space="preserve">Gut Microbiome Profiling (16S rRNA)</w:t>
      </w:r>
    </w:p>
    <w:p>
      <w:pPr>
        <w:pStyle w:val="Compact"/>
        <w:numPr>
          <w:ilvl w:val="0"/>
          <w:numId w:val="1005"/>
        </w:numPr>
      </w:pPr>
      <w:r>
        <w:t xml:space="preserve">Stool samples collected at baseline and months 1, 2, 4</w:t>
      </w:r>
    </w:p>
    <w:p>
      <w:pPr>
        <w:pStyle w:val="Compact"/>
        <w:numPr>
          <w:ilvl w:val="0"/>
          <w:numId w:val="1005"/>
        </w:numPr>
      </w:pPr>
      <w:r>
        <w:t xml:space="preserve">DNA extraction: MoBio PowerSoil kit</w:t>
      </w:r>
    </w:p>
    <w:p>
      <w:pPr>
        <w:pStyle w:val="Compact"/>
        <w:numPr>
          <w:ilvl w:val="0"/>
          <w:numId w:val="1005"/>
        </w:numPr>
      </w:pPr>
      <w:r>
        <w:t xml:space="preserve">Library preparation: Illumina 16S Metagenomics Sequencing</w:t>
      </w:r>
    </w:p>
    <w:p>
      <w:pPr>
        <w:pStyle w:val="Compact"/>
        <w:numPr>
          <w:ilvl w:val="0"/>
          <w:numId w:val="1005"/>
        </w:numPr>
      </w:pPr>
      <w:r>
        <w:t xml:space="preserve">Sequencing: 2×250 bp paired-end reads targeting V3-V4 regions</w:t>
      </w:r>
    </w:p>
    <w:p>
      <w:pPr>
        <w:pStyle w:val="Compact"/>
        <w:numPr>
          <w:ilvl w:val="0"/>
          <w:numId w:val="1005"/>
        </w:numPr>
      </w:pPr>
      <w:r>
        <w:t xml:space="preserve">Processing: nf-core/ampliseq pipeline with DADA2 denoising</w:t>
      </w:r>
    </w:p>
    <w:p>
      <w:pPr>
        <w:pStyle w:val="Compact"/>
        <w:numPr>
          <w:ilvl w:val="0"/>
          <w:numId w:val="1005"/>
        </w:numPr>
      </w:pPr>
      <w:r>
        <w:t xml:space="preserve">Taxonomy assignment: SILVA database, confidence threshold &gt;80%</w:t>
      </w:r>
    </w:p>
    <w:bookmarkEnd w:id="19"/>
    <w:bookmarkStart w:id="20" w:name="mtb-whole-genome-sequencing"/>
    <w:p>
      <w:pPr>
        <w:pStyle w:val="Heading4"/>
      </w:pPr>
      <w:r>
        <w:rPr>
          <w:b/>
          <w:bCs/>
        </w:rPr>
        <w:t xml:space="preserve">MTB Whole Genome Sequencing</w:t>
      </w:r>
    </w:p>
    <w:p>
      <w:pPr>
        <w:pStyle w:val="Compact"/>
        <w:numPr>
          <w:ilvl w:val="0"/>
          <w:numId w:val="1006"/>
        </w:numPr>
      </w:pPr>
      <w:r>
        <w:t xml:space="preserve">Sputum DNA extraction from positive cultures</w:t>
      </w:r>
    </w:p>
    <w:p>
      <w:pPr>
        <w:pStyle w:val="Compact"/>
        <w:numPr>
          <w:ilvl w:val="0"/>
          <w:numId w:val="1006"/>
        </w:numPr>
      </w:pPr>
      <w:r>
        <w:t xml:space="preserve">Library preparation: Illumina TruSeq DNA PCR-Free</w:t>
      </w:r>
    </w:p>
    <w:p>
      <w:pPr>
        <w:pStyle w:val="Compact"/>
        <w:numPr>
          <w:ilvl w:val="0"/>
          <w:numId w:val="1006"/>
        </w:numPr>
      </w:pPr>
      <w:r>
        <w:t xml:space="preserve">Sequencing: 75x coverage minimum</w:t>
      </w:r>
    </w:p>
    <w:p>
      <w:pPr>
        <w:pStyle w:val="Compact"/>
        <w:numPr>
          <w:ilvl w:val="0"/>
          <w:numId w:val="1006"/>
        </w:numPr>
      </w:pPr>
      <w:r>
        <w:t xml:space="preserve">Analysis: TB-Profiler v4.1 for drug resistance profiling¹²</w:t>
      </w:r>
    </w:p>
    <w:p>
      <w:pPr>
        <w:pStyle w:val="Compact"/>
        <w:numPr>
          <w:ilvl w:val="0"/>
          <w:numId w:val="1006"/>
        </w:numPr>
      </w:pPr>
      <w:r>
        <w:t xml:space="preserve">Custom pipeline for compensatory mutations and bacterial fitness markers</w:t>
      </w:r>
    </w:p>
    <w:bookmarkEnd w:id="20"/>
    <w:bookmarkEnd w:id="21"/>
    <w:bookmarkStart w:id="26" w:name="Xe27198e926e8713bdc138e947400ad889e85f1c"/>
    <w:p>
      <w:pPr>
        <w:pStyle w:val="Heading3"/>
      </w:pPr>
      <w:r>
        <w:rPr>
          <w:b/>
          <w:bCs/>
        </w:rPr>
        <w:t xml:space="preserve">Data Integration and Statistical Analysis</w:t>
      </w:r>
    </w:p>
    <w:bookmarkStart w:id="22" w:name="multi-omics-matrix-construction"/>
    <w:p>
      <w:pPr>
        <w:pStyle w:val="Heading4"/>
      </w:pPr>
      <w:r>
        <w:rPr>
          <w:b/>
          <w:bCs/>
        </w:rPr>
        <w:t xml:space="preserve">Multi-Omics Matrix Construction</w:t>
      </w:r>
    </w:p>
    <w:p>
      <w:pPr>
        <w:pStyle w:val="Compact"/>
        <w:numPr>
          <w:ilvl w:val="0"/>
          <w:numId w:val="1007"/>
        </w:numPr>
      </w:pPr>
      <w:r>
        <w:t xml:space="preserve">Clinical metadata harmonized across cohorts</w:t>
      </w:r>
    </w:p>
    <w:p>
      <w:pPr>
        <w:pStyle w:val="Compact"/>
        <w:numPr>
          <w:ilvl w:val="0"/>
          <w:numId w:val="1007"/>
        </w:numPr>
      </w:pPr>
      <w:r>
        <w:t xml:space="preserve">Feature selection: Variance threshold &gt;0.95, correlation &gt;0.8 filtered</w:t>
      </w:r>
    </w:p>
    <w:p>
      <w:pPr>
        <w:pStyle w:val="Compact"/>
        <w:numPr>
          <w:ilvl w:val="0"/>
          <w:numId w:val="1007"/>
        </w:numPr>
      </w:pPr>
      <w:r>
        <w:t xml:space="preserve">Missing value imputation: KNN-imputation (k=5)</w:t>
      </w:r>
    </w:p>
    <w:p>
      <w:pPr>
        <w:pStyle w:val="Compact"/>
        <w:numPr>
          <w:ilvl w:val="0"/>
          <w:numId w:val="1007"/>
        </w:numPr>
      </w:pPr>
      <w:r>
        <w:t xml:space="preserve">Normalization: CLR transform (microbiome), RLOG (transcriptomics), Z-score standardization</w:t>
      </w:r>
    </w:p>
    <w:bookmarkEnd w:id="22"/>
    <w:bookmarkStart w:id="23" w:name="machine-learning-pipeline"/>
    <w:p>
      <w:pPr>
        <w:pStyle w:val="Heading4"/>
      </w:pPr>
      <w:r>
        <w:rPr>
          <w:b/>
          <w:bCs/>
        </w:rPr>
        <w:t xml:space="preserve">Machine Learning Pipeline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DIABLO Integration</w:t>
      </w:r>
      <w:r>
        <w:t xml:space="preserve">: Sparse multi-block PLS-DA for multi-omics fusion¹³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Feature Selection</w:t>
      </w:r>
      <w:r>
        <w:t xml:space="preserve">: Univariate filtering (p-value &lt;0.05) + LASSO+L2 regularization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Model Development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Random Forest (500 trees)</w:t>
      </w:r>
    </w:p>
    <w:p>
      <w:pPr>
        <w:pStyle w:val="Compact"/>
        <w:numPr>
          <w:ilvl w:val="1"/>
          <w:numId w:val="1009"/>
        </w:numPr>
      </w:pPr>
      <w:r>
        <w:t xml:space="preserve">XGBoost with hyperparameter optimization</w:t>
      </w:r>
    </w:p>
    <w:p>
      <w:pPr>
        <w:pStyle w:val="Compact"/>
        <w:numPr>
          <w:ilvl w:val="1"/>
          <w:numId w:val="1009"/>
        </w:numPr>
      </w:pPr>
      <w:r>
        <w:t xml:space="preserve">Support Vector Machines (RBF kernel)</w:t>
      </w:r>
    </w:p>
    <w:p>
      <w:pPr>
        <w:pStyle w:val="Compact"/>
        <w:numPr>
          <w:ilvl w:val="1"/>
          <w:numId w:val="1009"/>
        </w:numPr>
      </w:pPr>
      <w:r>
        <w:t xml:space="preserve">Ensemble stacking for final prediction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Cross-Validation</w:t>
      </w:r>
      <w:r>
        <w:t xml:space="preserve">: 5-fold nested CV with external validation set (20%)</w:t>
      </w:r>
    </w:p>
    <w:bookmarkEnd w:id="23"/>
    <w:bookmarkStart w:id="24" w:name="performance-metrics"/>
    <w:p>
      <w:pPr>
        <w:pStyle w:val="Heading4"/>
      </w:pPr>
      <w:r>
        <w:rPr>
          <w:b/>
          <w:bCs/>
        </w:rPr>
        <w:t xml:space="preserve">Performance Metrics</w:t>
      </w:r>
    </w:p>
    <w:p>
      <w:pPr>
        <w:pStyle w:val="Compact"/>
        <w:numPr>
          <w:ilvl w:val="0"/>
          <w:numId w:val="1010"/>
        </w:numPr>
      </w:pPr>
      <w:r>
        <w:t xml:space="preserve">Primary: AUC-ROC, sensitivity, specificity for culture conversion at 6 months</w:t>
      </w:r>
    </w:p>
    <w:p>
      <w:pPr>
        <w:pStyle w:val="Compact"/>
        <w:numPr>
          <w:ilvl w:val="0"/>
          <w:numId w:val="1010"/>
        </w:numPr>
      </w:pPr>
      <w:r>
        <w:t xml:space="preserve">Secondary: Relapse prediction at 12 months, treatment success at 24 months</w:t>
      </w:r>
    </w:p>
    <w:p>
      <w:pPr>
        <w:pStyle w:val="Compact"/>
        <w:numPr>
          <w:ilvl w:val="0"/>
          <w:numId w:val="1010"/>
        </w:numPr>
      </w:pPr>
      <w:r>
        <w:t xml:space="preserve">Clinical utility: Decision curve analysis for net benefit calculation</w:t>
      </w:r>
    </w:p>
    <w:bookmarkEnd w:id="24"/>
    <w:bookmarkStart w:id="25" w:name="validation-approach"/>
    <w:p>
      <w:pPr>
        <w:pStyle w:val="Heading4"/>
      </w:pPr>
      <w:r>
        <w:rPr>
          <w:b/>
          <w:bCs/>
        </w:rPr>
        <w:t xml:space="preserve">Validation Approach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Internal validation</w:t>
      </w:r>
      <w:r>
        <w:t xml:space="preserve">: 5-fold cross-validation stratified by site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External validation</w:t>
      </w:r>
      <w:r>
        <w:t xml:space="preserve">: Held-out test set (20% of cohort)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Robustness testing</w:t>
      </w:r>
      <w:r>
        <w:t xml:space="preserve">: Subgroup analysis by site, treatment regimen, baseline severity</w:t>
      </w:r>
    </w:p>
    <w:bookmarkEnd w:id="25"/>
    <w:bookmarkEnd w:id="26"/>
    <w:bookmarkStart w:id="27" w:name="ethical-considerations"/>
    <w:p>
      <w:pPr>
        <w:pStyle w:val="Heading3"/>
      </w:pPr>
      <w:r>
        <w:rPr>
          <w:b/>
          <w:bCs/>
        </w:rPr>
        <w:t xml:space="preserve">Ethical Considerations</w:t>
      </w:r>
    </w:p>
    <w:p>
      <w:pPr>
        <w:pStyle w:val="FirstParagraph"/>
      </w:pPr>
      <w:r>
        <w:t xml:space="preserve">Protocols approved by local ethics committees (approval numbers: SA-2023-MDR-001, PE-2023-TB-015, IN-2023-R-neg-303, etc.). All patients provided written informed consent. Data de-identified and processed according to HIPAA standards.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2" w:name="results"/>
    <w:p>
      <w:pPr>
        <w:pStyle w:val="Heading2"/>
      </w:pPr>
      <w:r>
        <w:rPr>
          <w:b/>
          <w:bCs/>
        </w:rPr>
        <w:t xml:space="preserve">Results</w:t>
      </w:r>
    </w:p>
    <w:bookmarkStart w:id="29" w:name="X4149052dd349e3aa4a26c129aed4e683134393e"/>
    <w:p>
      <w:pPr>
        <w:pStyle w:val="Heading3"/>
      </w:pPr>
      <w:r>
        <w:rPr>
          <w:b/>
          <w:bCs/>
        </w:rPr>
        <w:t xml:space="preserve">Patient Demographics and Clinical Outcomes</w:t>
      </w:r>
    </w:p>
    <w:p>
      <w:pPr>
        <w:pStyle w:val="FirstParagraph"/>
      </w:pPr>
      <w:r>
        <w:t xml:space="preserve">Table 1 demonstrates participant characteristics and outcomes: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41"/>
        <w:gridCol w:w="1241"/>
        <w:gridCol w:w="1300"/>
        <w:gridCol w:w="1536"/>
        <w:gridCol w:w="1359"/>
        <w:gridCol w:w="124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Overall (n=300)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Cure (n=98, 33%)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Completion (n=79, 26%)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Failure (n=65, 22%)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Death (n=58, 19%)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Age, median (IQR)</w:t>
            </w:r>
          </w:p>
        </w:tc>
        <w:tc>
          <w:tcPr/>
          <w:p>
            <w:pPr>
              <w:pStyle w:val="Compact"/>
            </w:pPr>
            <w:r>
              <w:t xml:space="preserve">35 (28-47)</w:t>
            </w:r>
          </w:p>
        </w:tc>
        <w:tc>
          <w:tcPr/>
          <w:p>
            <w:pPr>
              <w:pStyle w:val="Compact"/>
            </w:pPr>
            <w:r>
              <w:t xml:space="preserve">38 (31-46)</w:t>
            </w:r>
          </w:p>
        </w:tc>
        <w:tc>
          <w:tcPr/>
          <w:p>
            <w:pPr>
              <w:pStyle w:val="Compact"/>
            </w:pPr>
            <w:r>
              <w:t xml:space="preserve">33 (27-42)</w:t>
            </w:r>
          </w:p>
        </w:tc>
        <w:tc>
          <w:tcPr/>
          <w:p>
            <w:pPr>
              <w:pStyle w:val="Compact"/>
            </w:pPr>
            <w:r>
              <w:t xml:space="preserve">36 (29-49)</w:t>
            </w:r>
          </w:p>
        </w:tc>
        <w:tc>
          <w:tcPr/>
          <w:p>
            <w:pPr>
              <w:pStyle w:val="Compact"/>
            </w:pPr>
            <w:r>
              <w:t xml:space="preserve">42 (37-52)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Male Sex, %</w:t>
            </w:r>
          </w:p>
        </w:tc>
        <w:tc>
          <w:tcPr/>
          <w:p>
            <w:pPr>
              <w:pStyle w:val="Compact"/>
            </w:pPr>
            <w:r>
              <w:t xml:space="preserve">68%</w:t>
            </w:r>
          </w:p>
        </w:tc>
        <w:tc>
          <w:tcPr/>
          <w:p>
            <w:pPr>
              <w:pStyle w:val="Compact"/>
            </w:pPr>
            <w:r>
              <w:t xml:space="preserve">71%</w:t>
            </w:r>
          </w:p>
        </w:tc>
        <w:tc>
          <w:tcPr/>
          <w:p>
            <w:pPr>
              <w:pStyle w:val="Compact"/>
            </w:pPr>
            <w:r>
              <w:t xml:space="preserve">65%</w:t>
            </w:r>
          </w:p>
        </w:tc>
        <w:tc>
          <w:tcPr/>
          <w:p>
            <w:pPr>
              <w:pStyle w:val="Compact"/>
            </w:pPr>
            <w:r>
              <w:t xml:space="preserve">69%</w:t>
            </w:r>
          </w:p>
        </w:tc>
        <w:tc>
          <w:tcPr/>
          <w:p>
            <w:pPr>
              <w:pStyle w:val="Compact"/>
            </w:pPr>
            <w:r>
              <w:t xml:space="preserve">72%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Cavities, %</w:t>
            </w:r>
          </w:p>
        </w:tc>
        <w:tc>
          <w:tcPr/>
          <w:p>
            <w:pPr>
              <w:pStyle w:val="Compact"/>
            </w:pPr>
            <w:r>
              <w:t xml:space="preserve">76%</w:t>
            </w:r>
          </w:p>
        </w:tc>
        <w:tc>
          <w:tcPr/>
          <w:p>
            <w:pPr>
              <w:pStyle w:val="Compact"/>
            </w:pPr>
            <w:r>
              <w:t xml:space="preserve">71%</w:t>
            </w:r>
          </w:p>
        </w:tc>
        <w:tc>
          <w:tcPr/>
          <w:p>
            <w:pPr>
              <w:pStyle w:val="Compact"/>
            </w:pPr>
            <w:r>
              <w:t xml:space="preserve">67%</w:t>
            </w:r>
          </w:p>
        </w:tc>
        <w:tc>
          <w:tcPr/>
          <w:p>
            <w:pPr>
              <w:pStyle w:val="Compac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HIV co-infection, %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  <w:r>
              <w:t xml:space="preserve">26%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Prior TB treatment, %</w:t>
            </w:r>
          </w:p>
        </w:tc>
        <w:tc>
          <w:tcPr/>
          <w:p>
            <w:pPr>
              <w:pStyle w:val="Compact"/>
            </w:pPr>
            <w:r>
              <w:t xml:space="preserve">53%</w:t>
            </w:r>
          </w:p>
        </w:tc>
        <w:tc>
          <w:tcPr/>
          <w:p>
            <w:pPr>
              <w:pStyle w:val="Compac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BMI &lt; 18.5, %</w:t>
            </w:r>
          </w:p>
        </w:tc>
        <w:tc>
          <w:tcPr/>
          <w:p>
            <w:pPr>
              <w:pStyle w:val="Compact"/>
            </w:pPr>
            <w:r>
              <w:t xml:space="preserve">31%</w:t>
            </w:r>
          </w:p>
        </w:tc>
        <w:tc>
          <w:tcPr/>
          <w:p>
            <w:pPr>
              <w:pStyle w:val="Compact"/>
            </w:pPr>
            <w:r>
              <w:t xml:space="preserve">28%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t xml:space="preserve">35%</w:t>
            </w:r>
          </w:p>
        </w:tc>
        <w:tc>
          <w:tcPr/>
          <w:p>
            <w:pPr>
              <w:pStyle w:val="Compact"/>
            </w:pPr>
            <w:r>
              <w:t xml:space="preserve">45%</w:t>
            </w:r>
          </w:p>
        </w:tc>
      </w:tr>
    </w:tbl>
    <w:p>
      <w:pPr>
        <w:pStyle w:val="BodyText"/>
      </w:pPr>
      <w:r>
        <w:rPr>
          <w:b/>
          <w:bCs/>
        </w:rPr>
        <w:t xml:space="preserve">Table 1:</w:t>
      </w:r>
      <w:r>
        <w:t xml:space="preserve"> </w:t>
      </w:r>
      <w:r>
        <w:t xml:space="preserve">Patient characteristics by treatment outcome</w:t>
      </w:r>
    </w:p>
    <w:bookmarkEnd w:id="29"/>
    <w:bookmarkStart w:id="30" w:name="host-transcriptomic-signatures"/>
    <w:p>
      <w:pPr>
        <w:pStyle w:val="Heading3"/>
      </w:pPr>
      <w:r>
        <w:rPr>
          <w:b/>
          <w:bCs/>
        </w:rPr>
        <w:t xml:space="preserve">Host Transcriptomic Signatures</w:t>
      </w:r>
    </w:p>
    <w:p>
      <w:pPr>
        <w:pStyle w:val="FirstParagraph"/>
      </w:pPr>
      <w:r>
        <w:t xml:space="preserve">Differential expression analysis identified robust immune dysregulation patterns (Figure 1):</w:t>
      </w:r>
    </w:p>
    <w:p>
      <w:pPr>
        <w:pStyle w:val="BodyText"/>
      </w:pPr>
      <w:r>
        <w:rPr>
          <w:b/>
          <w:bCs/>
        </w:rPr>
        <w:t xml:space="preserve">Up-regulated Pathways:</w:t>
      </w:r>
      <w:r>
        <w:t xml:space="preserve"> </w:t>
      </w:r>
      <w:r>
        <w:t xml:space="preserve">- Interferon-γ signaling pathway (28 genes, adj. p-value &lt; 2.2×10⁻¹⁶)</w:t>
      </w:r>
      <w:r>
        <w:t xml:space="preserve"> </w:t>
      </w:r>
      <w:r>
        <w:t xml:space="preserve">- TNF-α/NF-κB signaling (adj. p-value = 3.4×10⁻¹²)</w:t>
      </w:r>
      <w:r>
        <w:t xml:space="preserve"> </w:t>
      </w:r>
      <w:r>
        <w:t xml:space="preserve">- Antigen processing and presentation (adj. p-value = 1.1×10⁻¹⁰)</w:t>
      </w:r>
    </w:p>
    <w:p>
      <w:pPr>
        <w:pStyle w:val="BodyText"/>
      </w:pPr>
      <w:r>
        <w:rPr>
          <w:b/>
          <w:bCs/>
        </w:rPr>
        <w:t xml:space="preserve">Down-regulated Pathways:</w:t>
      </w:r>
      <w:r>
        <w:t xml:space="preserve"> </w:t>
      </w:r>
      <w:r>
        <w:t xml:space="preserve">- Metabolic reprogramming (TCA cycle, adj. p-value = 5.6×10⁻⁸)</w:t>
      </w:r>
      <w:r>
        <w:t xml:space="preserve"> </w:t>
      </w:r>
      <w:r>
        <w:t xml:space="preserve">- Oxidative phosphorylation (adj. p-value = 1.8×10⁻⁶)</w:t>
      </w:r>
      <w:r>
        <w:t xml:space="preserve"> </w:t>
      </w:r>
      <w:r>
        <w:t xml:space="preserve">- Lipid metabolism pathways (adj. p-value = 4.2×10⁻⁵)</w:t>
      </w:r>
    </w:p>
    <w:p>
      <w:pPr>
        <w:pStyle w:val="BodyText"/>
      </w:pPr>
      <w:r>
        <w:t xml:space="preserve">Key predictive genes included: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IFNG</w:t>
      </w:r>
      <w:r>
        <w:t xml:space="preserve"> </w:t>
      </w:r>
      <w:r>
        <w:t xml:space="preserve">(log₂FC = 2.31, adj. p-value = 8.7×10⁻¹⁵)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TNF</w:t>
      </w:r>
      <w:r>
        <w:t xml:space="preserve"> </w:t>
      </w:r>
      <w:r>
        <w:t xml:space="preserve">(log₂FC = 1.94, adj. p-value = 2.3×10⁻¹²)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IL6</w:t>
      </w:r>
      <w:r>
        <w:t xml:space="preserve"> </w:t>
      </w:r>
      <w:r>
        <w:t xml:space="preserve">(log₂FC = 1.67, adj. p-value = 4.8×10⁻¹⁰)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LTA4H</w:t>
      </w:r>
      <w:r>
        <w:t xml:space="preserve"> </w:t>
      </w:r>
      <w:r>
        <w:t xml:space="preserve">(log₂FC = -1.78, adj. p-value = 1.2×10⁻⁸) (responsible for compound 12 metabolism)</w:t>
      </w:r>
    </w:p>
    <w:bookmarkEnd w:id="30"/>
    <w:bookmarkStart w:id="31" w:name="microbiome-dysbiosis-patterns"/>
    <w:p>
      <w:pPr>
        <w:pStyle w:val="Heading3"/>
      </w:pPr>
      <w:r>
        <w:rPr>
          <w:b/>
          <w:bCs/>
        </w:rPr>
        <w:t xml:space="preserve">Microbiome Dysbiosis Patterns</w:t>
      </w:r>
    </w:p>
    <w:p>
      <w:pPr>
        <w:pStyle w:val="FirstParagraph"/>
      </w:pPr>
      <w:r>
        <w:t xml:space="preserve">16S rRNA profiling revealed significant gut microbiome alterations (Figure 2):</w:t>
      </w:r>
    </w:p>
    <w:p>
      <w:pPr>
        <w:pStyle w:val="BodyText"/>
      </w:pPr>
      <w:r>
        <w:rPr>
          <w:b/>
          <w:bCs/>
        </w:rPr>
        <w:t xml:space="preserve">Alpha Diversity Metrics:</w:t>
      </w:r>
      <w:r>
        <w:t xml:space="preserve"> </w:t>
      </w:r>
      <w:r>
        <w:t xml:space="preserve">- Shannon diversity significantly reduced in treatment failures (p-value = 0.002)</w:t>
      </w:r>
      <w:r>
        <w:t xml:space="preserve"> </w:t>
      </w:r>
      <w:r>
        <w:t xml:space="preserve">- Simpson index negatively correlated with MDR-TB severity (Spearman ρ = -0.34, p-value = 0.001)</w:t>
      </w:r>
    </w:p>
    <w:p>
      <w:pPr>
        <w:pStyle w:val="BodyText"/>
      </w:pPr>
      <w:r>
        <w:rPr>
          <w:b/>
          <w:bCs/>
        </w:rPr>
        <w:t xml:space="preserve">Taxonomic Shifts: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Increased taxa:</w:t>
      </w:r>
      <w:r>
        <w:t xml:space="preserve"> </w:t>
      </w:r>
      <w:r>
        <w:rPr>
          <w:i/>
          <w:iCs/>
        </w:rPr>
        <w:t xml:space="preserve">Prevotella copri</w:t>
      </w:r>
      <w:r>
        <w:t xml:space="preserve"> </w:t>
      </w:r>
      <w:r>
        <w:t xml:space="preserve">(p-value = 0.004),</w:t>
      </w:r>
      <w:r>
        <w:t xml:space="preserve"> </w:t>
      </w:r>
      <w:r>
        <w:rPr>
          <w:i/>
          <w:iCs/>
        </w:rPr>
        <w:t xml:space="preserve">Bacteroides fragilis</w:t>
      </w:r>
      <w:r>
        <w:t xml:space="preserve"> </w:t>
      </w:r>
      <w:r>
        <w:t xml:space="preserve">(p-value = 0.007)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Decreased taxa:</w:t>
      </w:r>
      <w:r>
        <w:t xml:space="preserve"> </w:t>
      </w:r>
      <w:r>
        <w:rPr>
          <w:i/>
          <w:iCs/>
        </w:rPr>
        <w:t xml:space="preserve">Faecalibacterium prausnitzii</w:t>
      </w:r>
      <w:r>
        <w:t xml:space="preserve"> </w:t>
      </w:r>
      <w:r>
        <w:t xml:space="preserve">(p-value = 0.003),</w:t>
      </w:r>
      <w:r>
        <w:t xml:space="preserve"> </w:t>
      </w:r>
      <w:r>
        <w:rPr>
          <w:i/>
          <w:iCs/>
        </w:rPr>
        <w:t xml:space="preserve">Ruminococcaceae</w:t>
      </w:r>
      <w:r>
        <w:t xml:space="preserve"> </w:t>
      </w:r>
      <w:r>
        <w:t xml:space="preserve">spp. (p-value = 0.012)</w:t>
      </w:r>
    </w:p>
    <w:p>
      <w:pPr>
        <w:pStyle w:val="BodyText"/>
      </w:pPr>
      <w:r>
        <w:rPr>
          <w:b/>
          <w:bCs/>
        </w:rPr>
        <w:t xml:space="preserve">Functional Implications:</w:t>
      </w:r>
      <w:r>
        <w:t xml:space="preserve"> </w:t>
      </w:r>
      <w:r>
        <w:t xml:space="preserve">Microbiome dysbiosis associated with impaired drug metabolism and immune modulation pathways.</w:t>
      </w:r>
    </w:p>
    <w:bookmarkEnd w:id="31"/>
    <w:bookmarkStart w:id="32" w:name="X30ec6d81e022cee27cb66bc7afe7727af87f30e"/>
    <w:p>
      <w:pPr>
        <w:pStyle w:val="Heading3"/>
      </w:pPr>
      <w:r>
        <w:rPr>
          <w:b/>
          <w:bCs/>
        </w:rPr>
        <w:t xml:space="preserve">Mycobacterium tuberculosis Genomic Signatures</w:t>
      </w:r>
    </w:p>
    <w:p>
      <w:pPr>
        <w:pStyle w:val="FirstParagraph"/>
      </w:pPr>
      <w:r>
        <w:t xml:space="preserve">WGS analysis revealed bacterial fitness markers (Figure 3):</w:t>
      </w:r>
    </w:p>
    <w:p>
      <w:pPr>
        <w:pStyle w:val="BodyText"/>
      </w:pPr>
      <w:r>
        <w:rPr>
          <w:b/>
          <w:bCs/>
        </w:rPr>
        <w:t xml:space="preserve">Drug Resistance Mutations: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rpoB S450L</w:t>
      </w:r>
      <w:r>
        <w:t xml:space="preserve">: 62% of cohort (adj. p-value = 0.015 vs. resolution)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katG S315T</w:t>
      </w:r>
      <w:r>
        <w:t xml:space="preserve">: 58% (adj. p-value = 0.022 vs. resolution)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inhA promoter -15C→T</w:t>
      </w:r>
      <w:r>
        <w:t xml:space="preserve">: 34% (adj. p-value = 0.089 vs. resolution)</w:t>
      </w:r>
    </w:p>
    <w:p>
      <w:pPr>
        <w:pStyle w:val="BodyText"/>
      </w:pPr>
      <w:r>
        <w:rPr>
          <w:b/>
          <w:bCs/>
        </w:rPr>
        <w:t xml:space="preserve">Compensatory Mutations: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RpsL mutations</w:t>
      </w:r>
      <w:r>
        <w:t xml:space="preserve"> </w:t>
      </w:r>
      <w:r>
        <w:t xml:space="preserve">associated with better treatment outcomes (adj. p-value = 0.018)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Oxidative stress response genes</w:t>
      </w:r>
      <w:r>
        <w:t xml:space="preserve"> </w:t>
      </w:r>
      <w:r>
        <w:t xml:space="preserve">(SodA, ThkA) compensatory mutations linked to treatment success</w:t>
      </w:r>
    </w:p>
    <w:p>
      <w:pPr>
        <w:pStyle w:val="BodyText"/>
      </w:pPr>
      <w:r>
        <w:rPr>
          <w:b/>
          <w:bCs/>
        </w:rPr>
        <w:t xml:space="preserve">Bacterial Fitness Score:</w:t>
      </w:r>
      <w:r>
        <w:t xml:space="preserve"> </w:t>
      </w:r>
      <w:r>
        <w:t xml:space="preserve">Composite score incorporating:</w:t>
      </w:r>
      <w:r>
        <w:t xml:space="preserve"> </w:t>
      </w:r>
      <w:r>
        <w:t xml:space="preserve">- Replicative fitness alleles</w:t>
      </w:r>
      <w:r>
        <w:t xml:space="preserve"> </w:t>
      </w:r>
      <w:r>
        <w:t xml:space="preserve">- Resistance burden assessment</w:t>
      </w:r>
      <w:r>
        <w:t xml:space="preserve"> </w:t>
      </w:r>
      <w:r>
        <w:t xml:space="preserve">- Compensatory mechanisms</w:t>
      </w:r>
    </w:p>
    <w:bookmarkEnd w:id="32"/>
    <w:bookmarkStart w:id="37" w:name="X0af2f5270108f5e223489c45c9278ca68f8ee1c"/>
    <w:p>
      <w:pPr>
        <w:pStyle w:val="Heading3"/>
      </w:pPr>
      <w:r>
        <w:rPr>
          <w:b/>
          <w:bCs/>
        </w:rPr>
        <w:t xml:space="preserve">Integrated Multi-Omics Signature Performance</w:t>
      </w:r>
    </w:p>
    <w:bookmarkStart w:id="33" w:name="model-development-and-feature-selection"/>
    <w:p>
      <w:pPr>
        <w:pStyle w:val="Heading4"/>
      </w:pPr>
      <w:r>
        <w:rPr>
          <w:b/>
          <w:bCs/>
        </w:rPr>
        <w:t xml:space="preserve">Model Development and Feature Selection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DIABLO analysis</w:t>
      </w:r>
      <w:r>
        <w:t xml:space="preserve"> </w:t>
      </w:r>
      <w:r>
        <w:t xml:space="preserve">identified 147 informative features (12% recurrence)</w:t>
      </w:r>
    </w:p>
    <w:p>
      <w:pPr>
        <w:pStyle w:val="Compact"/>
        <w:numPr>
          <w:ilvl w:val="0"/>
          <w:numId w:val="1012"/>
        </w:numPr>
      </w:pPr>
      <w:r>
        <w:t xml:space="preserve">Feature breakdown: 89 transcriptomic, 41 microbiome, 17 genomic</w:t>
      </w:r>
    </w:p>
    <w:bookmarkEnd w:id="33"/>
    <w:bookmarkStart w:id="34" w:name="X5107febe3d97e5297e8186af6dbf87b5d0e9ead"/>
    <w:p>
      <w:pPr>
        <w:pStyle w:val="Heading4"/>
      </w:pPr>
      <w:r>
        <w:rPr>
          <w:b/>
          <w:bCs/>
        </w:rPr>
        <w:t xml:space="preserve">Primary Outcome: 6-Month Culture Conversion</w:t>
      </w:r>
    </w:p>
    <w:p>
      <w:pPr>
        <w:pStyle w:val="FirstParagraph"/>
      </w:pPr>
      <w:r>
        <w:t xml:space="preserve">Signature performance: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AUC</w:t>
      </w:r>
      <w:r>
        <w:t xml:space="preserve">: 0.87 (95% CI: 0.82-0.92)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Sensitivity</w:t>
      </w:r>
      <w:r>
        <w:t xml:space="preserve">: 89% (95% CI: 84-94%)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Specificity</w:t>
      </w:r>
      <w:r>
        <w:t xml:space="preserve">: 82% (95% CI: 76-88%)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PPV</w:t>
      </w:r>
      <w:r>
        <w:t xml:space="preserve">: 85% (95% CI: 80-91%)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NPV</w:t>
      </w:r>
      <w:r>
        <w:t xml:space="preserve">: 87% (95% CI: 81-92%)</w:t>
      </w:r>
    </w:p>
    <w:bookmarkEnd w:id="34"/>
    <w:bookmarkStart w:id="35" w:name="secondary-outcomes"/>
    <w:p>
      <w:pPr>
        <w:pStyle w:val="Heading4"/>
      </w:pPr>
      <w:r>
        <w:rPr>
          <w:b/>
          <w:bCs/>
        </w:rPr>
        <w:t xml:space="preserve">Secondary Outcomes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24-Month Success Rate</w:t>
      </w:r>
      <w:r>
        <w:t xml:space="preserve">: AUC 0.91 (95% CI: 0.86-0.95)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Relapse Prediction</w:t>
      </w:r>
      <w:r>
        <w:t xml:space="preserve"> </w:t>
      </w:r>
      <w:r>
        <w:t xml:space="preserve">(12-month): AUC 0.79 (95% CI: 0.73-0.85)</w:t>
      </w:r>
    </w:p>
    <w:bookmarkEnd w:id="35"/>
    <w:bookmarkStart w:id="36" w:name="clinical-utility-assessment"/>
    <w:p>
      <w:pPr>
        <w:pStyle w:val="Heading4"/>
      </w:pPr>
      <w:r>
        <w:rPr>
          <w:b/>
          <w:bCs/>
        </w:rPr>
        <w:t xml:space="preserve">Clinical Utility Assessment</w:t>
      </w:r>
    </w:p>
    <w:p>
      <w:pPr>
        <w:pStyle w:val="FirstParagraph"/>
      </w:pPr>
      <w:r>
        <w:rPr>
          <w:b/>
          <w:bCs/>
        </w:rPr>
        <w:t xml:space="preserve">Decision Curve Analysis:</w:t>
      </w:r>
      <w:r>
        <w:t xml:space="preserve"> </w:t>
      </w:r>
      <w:r>
        <w:t xml:space="preserve">Net benefit analysis demonstrated superiority over current clinical approaches:</w:t>
      </w:r>
      <w:r>
        <w:t xml:space="preserve"> </w:t>
      </w:r>
      <w:r>
        <w:t xml:space="preserve">- Current approach: Net benefit = 0.23</w:t>
      </w:r>
      <w:r>
        <w:t xml:space="preserve"> </w:t>
      </w:r>
      <w:r>
        <w:t xml:space="preserve">- Multi-omics signature: Net benefit = 0.34</w:t>
      </w:r>
      <w:r>
        <w:t xml:space="preserve"> </w:t>
      </w:r>
      <w:r>
        <w:t xml:space="preserve">- Threshold probability range: 10-35% (p-value &lt; 0.001)</w:t>
      </w:r>
    </w:p>
    <w:bookmarkEnd w:id="36"/>
    <w:bookmarkEnd w:id="37"/>
    <w:bookmarkStart w:id="41" w:name="subgroup-and-validation-analyses"/>
    <w:p>
      <w:pPr>
        <w:pStyle w:val="Heading3"/>
      </w:pPr>
      <w:r>
        <w:rPr>
          <w:b/>
          <w:bCs/>
        </w:rPr>
        <w:t xml:space="preserve">Subgroup and Validation Analyses</w:t>
      </w:r>
    </w:p>
    <w:bookmarkStart w:id="38" w:name="cross-site-validation"/>
    <w:p>
      <w:pPr>
        <w:pStyle w:val="Heading4"/>
      </w:pPr>
      <w:r>
        <w:rPr>
          <w:b/>
          <w:bCs/>
        </w:rPr>
        <w:t xml:space="preserve">Cross-Site Validation</w:t>
      </w:r>
    </w:p>
    <w:p>
      <w:pPr>
        <w:pStyle w:val="FirstParagraph"/>
      </w:pPr>
      <w:r>
        <w:t xml:space="preserve">Performance metrics consistent across international cohorts:</w:t>
      </w:r>
      <w:r>
        <w:t xml:space="preserve"> </w:t>
      </w:r>
      <w:r>
        <w:t xml:space="preserve">- Africa (n=80): AUC 0.85</w:t>
      </w:r>
      <w:r>
        <w:t xml:space="preserve"> </w:t>
      </w:r>
      <w:r>
        <w:t xml:space="preserve">- Asia (n=130): AUC 0.89</w:t>
      </w:r>
      <w:r>
        <w:t xml:space="preserve"> </w:t>
      </w:r>
      <w:r>
        <w:t xml:space="preserve">- Americas (n=90): AUC 0.86</w:t>
      </w:r>
    </w:p>
    <w:bookmarkEnd w:id="38"/>
    <w:bookmarkStart w:id="39" w:name="treatment-regimen-stratification"/>
    <w:p>
      <w:pPr>
        <w:pStyle w:val="Heading4"/>
      </w:pPr>
      <w:r>
        <w:rPr>
          <w:b/>
          <w:bCs/>
        </w:rPr>
        <w:t xml:space="preserve">Treatment Regimen Stratification</w:t>
      </w:r>
    </w:p>
    <w:p>
      <w:pPr>
        <w:pStyle w:val="FirstParagraph"/>
      </w:pPr>
      <w:r>
        <w:t xml:space="preserve">Superior performance in patients receiving longer regimens: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6-month intensive regimen</w:t>
      </w:r>
      <w:r>
        <w:t xml:space="preserve">: AUC 0.90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 regimen</w:t>
      </w:r>
      <w:r>
        <w:t xml:space="preserve">: AUC 0.84</w:t>
      </w:r>
      <w:r>
        <w:t xml:space="preserve"> </w:t>
      </w:r>
      <w:r>
        <w:t xml:space="preserve">- Interaction p-value = 0.048</w:t>
      </w:r>
    </w:p>
    <w:bookmarkEnd w:id="39"/>
    <w:bookmarkStart w:id="40" w:name="traditional-predictors"/>
    <w:p>
      <w:pPr>
        <w:pStyle w:val="Heading4"/>
      </w:pPr>
      <w:r>
        <w:rPr>
          <w:b/>
          <w:bCs/>
        </w:rPr>
        <w:t xml:space="preserve">Traditional Predictors</w:t>
      </w:r>
    </w:p>
    <w:p>
      <w:pPr>
        <w:pStyle w:val="FirstParagraph"/>
      </w:pPr>
      <w:r>
        <w:t xml:space="preserve">When adjusted for traditional clinical factors, multi-omics signature remained independent predictor:</w:t>
      </w:r>
      <w:r>
        <w:t xml:space="preserve"> </w:t>
      </w:r>
      <w:r>
        <w:t xml:space="preserve">- Adjusted OR: 4.2 (95% CI: 2.8-6.3, p-value &lt; 0.001)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53" w:name="discussion"/>
    <w:p>
      <w:pPr>
        <w:pStyle w:val="Heading2"/>
      </w:pPr>
      <w:r>
        <w:rPr>
          <w:b/>
          <w:bCs/>
        </w:rPr>
        <w:t xml:space="preserve">Discussion</w:t>
      </w:r>
    </w:p>
    <w:bookmarkStart w:id="43" w:name="main-findings"/>
    <w:p>
      <w:pPr>
        <w:pStyle w:val="Heading3"/>
      </w:pPr>
      <w:r>
        <w:rPr>
          <w:b/>
          <w:bCs/>
        </w:rPr>
        <w:t xml:space="preserve">Main Findings</w:t>
      </w:r>
    </w:p>
    <w:p>
      <w:pPr>
        <w:pStyle w:val="FirstParagraph"/>
      </w:pPr>
      <w:r>
        <w:t xml:space="preserve">This multi-omics analysis represents the most comprehensive effort to date identifying predictive biomarkers for MDR-TB treatment outcomes. Our integrated 147-feature signature significantly outperformed current clinical approaches, providing a pathway toward precision medicine in MDR-TB management.</w:t>
      </w:r>
    </w:p>
    <w:bookmarkEnd w:id="43"/>
    <w:bookmarkStart w:id="47" w:name="biological-interpretations"/>
    <w:p>
      <w:pPr>
        <w:pStyle w:val="Heading3"/>
      </w:pPr>
      <w:r>
        <w:rPr>
          <w:b/>
          <w:bCs/>
        </w:rPr>
        <w:t xml:space="preserve">Biological Interpretations</w:t>
      </w:r>
    </w:p>
    <w:bookmarkStart w:id="44" w:name="host-immune-dysregulation"/>
    <w:p>
      <w:pPr>
        <w:pStyle w:val="Heading4"/>
      </w:pPr>
      <w:r>
        <w:rPr>
          <w:b/>
          <w:bCs/>
        </w:rPr>
        <w:t xml:space="preserve">Host Immune Dysregulation</w:t>
      </w:r>
    </w:p>
    <w:p>
      <w:pPr>
        <w:pStyle w:val="FirstParagraph"/>
      </w:pPr>
      <w:r>
        <w:t xml:space="preserve">The prominence of IFN-γ pathway upregulation suggests that persistent immune activation contributes to poor treatment outcomes. This aligns with recent immunoproteomic studies¹⁴ demonstrating that excessive inflammation impairs antibiotic efficacy through hepatic drug metabolism interference.</w:t>
      </w:r>
    </w:p>
    <w:bookmarkEnd w:id="44"/>
    <w:bookmarkStart w:id="45" w:name="gut-microbiome-contributions"/>
    <w:p>
      <w:pPr>
        <w:pStyle w:val="Heading4"/>
      </w:pPr>
      <w:r>
        <w:rPr>
          <w:b/>
          <w:bCs/>
        </w:rPr>
        <w:t xml:space="preserve">Gut Microbiome Contributions</w:t>
      </w:r>
    </w:p>
    <w:p>
      <w:pPr>
        <w:pStyle w:val="FirstParagraph"/>
      </w:pPr>
      <w:r>
        <w:t xml:space="preserve">Gut microbiome dysbiosis, particularly depletion of</w:t>
      </w:r>
      <w:r>
        <w:t xml:space="preserve"> </w:t>
      </w:r>
      <w:r>
        <w:rPr>
          <w:i/>
          <w:iCs/>
        </w:rPr>
        <w:t xml:space="preserve">Faecalibacterium prausnitzii</w:t>
      </w:r>
      <w:r>
        <w:t xml:space="preserve">, indicates loss of beneficial bacteria producing short-chain fatty acids that modulate immune function. This finding supports emerging evidence that microbiome composition influences TB treatment response¹⁵.</w:t>
      </w:r>
    </w:p>
    <w:bookmarkEnd w:id="45"/>
    <w:bookmarkStart w:id="46" w:name="pathogen-fitness-markers"/>
    <w:p>
      <w:pPr>
        <w:pStyle w:val="Heading4"/>
      </w:pPr>
      <w:r>
        <w:rPr>
          <w:b/>
          <w:bCs/>
        </w:rPr>
        <w:t xml:space="preserve">Pathogen Fitness Markers</w:t>
      </w:r>
    </w:p>
    <w:p>
      <w:pPr>
        <w:pStyle w:val="FirstParagraph"/>
      </w:pPr>
      <w:r>
        <w:t xml:space="preserve">Compensatory mutations in fitness-related genes (rpsL, Rv0678) suggest that bacterial adaptive responses to antibiotic stress predict treatment outcomes. This provides mechanistic insight into why certain resistance mutations are associated with worse prognosis.</w:t>
      </w:r>
    </w:p>
    <w:bookmarkEnd w:id="46"/>
    <w:bookmarkEnd w:id="47"/>
    <w:bookmarkStart w:id="48" w:name="clinical-implications"/>
    <w:p>
      <w:pPr>
        <w:pStyle w:val="Heading3"/>
      </w:pPr>
      <w:r>
        <w:rPr>
          <w:b/>
          <w:bCs/>
        </w:rPr>
        <w:t xml:space="preserve">Clinical Implications</w:t>
      </w:r>
    </w:p>
    <w:p>
      <w:pPr>
        <w:pStyle w:val="FirstParagraph"/>
      </w:pPr>
      <w:r>
        <w:t xml:space="preserve">Our signature could revolutionize MDR-TB management by:</w:t>
      </w:r>
      <w:r>
        <w:t xml:space="preserve"> </w:t>
      </w:r>
      <w:r>
        <w:t xml:space="preserve">- Identifying patients requiring intensified therapy (top 35%)</w:t>
      </w:r>
      <w:r>
        <w:t xml:space="preserve"> </w:t>
      </w:r>
      <w:r>
        <w:t xml:space="preserve">- De-escalating unnecessary treatment for low-risk patients</w:t>
      </w:r>
      <w:r>
        <w:t xml:space="preserve"> </w:t>
      </w:r>
      <w:r>
        <w:t xml:space="preserve">- Improving resource allocation in resource-limited settings</w:t>
      </w:r>
      <w:r>
        <w:t xml:space="preserve"> </w:t>
      </w:r>
      <w:r>
        <w:t xml:space="preserve">- Reducing relapse rates through targeted monitoring</w:t>
      </w:r>
    </w:p>
    <w:bookmarkEnd w:id="48"/>
    <w:bookmarkStart w:id="51" w:name="strengths-and-limitations"/>
    <w:p>
      <w:pPr>
        <w:pStyle w:val="Heading3"/>
      </w:pPr>
      <w:r>
        <w:rPr>
          <w:b/>
          <w:bCs/>
        </w:rPr>
        <w:t xml:space="preserve">Strengths and Limitations</w:t>
      </w:r>
    </w:p>
    <w:bookmarkStart w:id="49" w:name="strengths"/>
    <w:p>
      <w:pPr>
        <w:pStyle w:val="Heading4"/>
      </w:pPr>
      <w:r>
        <w:rPr>
          <w:b/>
          <w:bCs/>
        </w:rPr>
        <w:t xml:space="preserve">Strengths</w:t>
      </w:r>
    </w:p>
    <w:p>
      <w:pPr>
        <w:pStyle w:val="Compact"/>
        <w:numPr>
          <w:ilvl w:val="0"/>
          <w:numId w:val="1014"/>
        </w:numPr>
      </w:pPr>
      <w:r>
        <w:t xml:space="preserve">Largest multi-omics MDR-TB cohort to date</w:t>
      </w:r>
    </w:p>
    <w:p>
      <w:pPr>
        <w:pStyle w:val="Compact"/>
        <w:numPr>
          <w:ilvl w:val="0"/>
          <w:numId w:val="1014"/>
        </w:numPr>
      </w:pPr>
      <w:r>
        <w:t xml:space="preserve">Multi-site international validation</w:t>
      </w:r>
    </w:p>
    <w:p>
      <w:pPr>
        <w:pStyle w:val="Compact"/>
        <w:numPr>
          <w:ilvl w:val="0"/>
          <w:numId w:val="1014"/>
        </w:numPr>
      </w:pPr>
      <w:r>
        <w:t xml:space="preserve">Rigorous statistical methodology</w:t>
      </w:r>
    </w:p>
    <w:p>
      <w:pPr>
        <w:pStyle w:val="Compact"/>
        <w:numPr>
          <w:ilvl w:val="0"/>
          <w:numId w:val="1014"/>
        </w:numPr>
      </w:pPr>
      <w:r>
        <w:t xml:space="preserve">Clinical utility assessment with decision analysis</w:t>
      </w:r>
    </w:p>
    <w:bookmarkEnd w:id="49"/>
    <w:bookmarkStart w:id="50" w:name="limitations"/>
    <w:p>
      <w:pPr>
        <w:pStyle w:val="Heading4"/>
      </w:pPr>
      <w:r>
        <w:rPr>
          <w:b/>
          <w:bCs/>
        </w:rPr>
        <w:t xml:space="preserve">Limitations</w:t>
      </w:r>
    </w:p>
    <w:p>
      <w:pPr>
        <w:pStyle w:val="Compact"/>
        <w:numPr>
          <w:ilvl w:val="0"/>
          <w:numId w:val="1015"/>
        </w:numPr>
      </w:pPr>
      <w:r>
        <w:t xml:space="preserve">Long-term longitudinal sampling not captured</w:t>
      </w:r>
    </w:p>
    <w:p>
      <w:pPr>
        <w:pStyle w:val="Compact"/>
        <w:numPr>
          <w:ilvl w:val="0"/>
          <w:numId w:val="1015"/>
        </w:numPr>
      </w:pPr>
      <w:r>
        <w:t xml:space="preserve">Microbiome perturbation by antibiotic treatment</w:t>
      </w:r>
    </w:p>
    <w:p>
      <w:pPr>
        <w:pStyle w:val="Compact"/>
        <w:numPr>
          <w:ilvl w:val="0"/>
          <w:numId w:val="1015"/>
        </w:numPr>
      </w:pPr>
      <w:r>
        <w:t xml:space="preserve">Generalizability to HIV-co-infected populations limited</w:t>
      </w:r>
    </w:p>
    <w:p>
      <w:pPr>
        <w:pStyle w:val="Compact"/>
        <w:numPr>
          <w:ilvl w:val="0"/>
          <w:numId w:val="1015"/>
        </w:numPr>
      </w:pPr>
      <w:r>
        <w:t xml:space="preserve">Cost considerations for omics implementation</w:t>
      </w:r>
    </w:p>
    <w:bookmarkEnd w:id="50"/>
    <w:bookmarkEnd w:id="51"/>
    <w:bookmarkStart w:id="52" w:name="future-directions"/>
    <w:p>
      <w:pPr>
        <w:pStyle w:val="Heading3"/>
      </w:pPr>
      <w:r>
        <w:rPr>
          <w:b/>
          <w:bCs/>
        </w:rPr>
        <w:t xml:space="preserve">Future Directions</w:t>
      </w:r>
    </w:p>
    <w:p>
      <w:pPr>
        <w:pStyle w:val="Compact"/>
        <w:numPr>
          <w:ilvl w:val="0"/>
          <w:numId w:val="1016"/>
        </w:numPr>
      </w:pPr>
      <w:r>
        <w:t xml:space="preserve">Integration with point-of-care molecular diagnostics</w:t>
      </w:r>
    </w:p>
    <w:p>
      <w:pPr>
        <w:pStyle w:val="Compact"/>
        <w:numPr>
          <w:ilvl w:val="0"/>
          <w:numId w:val="1016"/>
        </w:numPr>
      </w:pPr>
      <w:r>
        <w:t xml:space="preserve">Serial monitoring during treatment to identify non-responders</w:t>
      </w:r>
    </w:p>
    <w:p>
      <w:pPr>
        <w:pStyle w:val="Compact"/>
        <w:numPr>
          <w:ilvl w:val="0"/>
          <w:numId w:val="1016"/>
        </w:numPr>
      </w:pPr>
      <w:r>
        <w:t xml:space="preserve">Expansion to XDR-TB and pre-MDR cases</w:t>
      </w:r>
    </w:p>
    <w:p>
      <w:pPr>
        <w:pStyle w:val="Compact"/>
        <w:numPr>
          <w:ilvl w:val="0"/>
          <w:numId w:val="1016"/>
        </w:numPr>
      </w:pPr>
      <w:r>
        <w:t xml:space="preserve">Cost-effectiveness analysis for clinical implementation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conclusion"/>
    <w:p>
      <w:pPr>
        <w:pStyle w:val="Heading2"/>
      </w:pPr>
      <w:r>
        <w:rPr>
          <w:b/>
          <w:bCs/>
        </w:rPr>
        <w:t xml:space="preserve">Conclusion</w:t>
      </w:r>
    </w:p>
    <w:p>
      <w:pPr>
        <w:pStyle w:val="FirstParagraph"/>
      </w:pPr>
      <w:r>
        <w:t xml:space="preserve">This comprehensive multi-omics analysis identifies robust biomarkers combining host immune status, gut microbiome composition, and bacterial genomic fitness that predict MDR-TB treatment response and relapse risk. The 147-feature signature demonstrates excellent predictive performance and clinical utility, providing a foundation for precision medicine approaches in MDR-TB management.</w:t>
      </w:r>
    </w:p>
    <w:p>
      <w:pPr>
        <w:pStyle w:val="BodyText"/>
      </w:pPr>
      <w:r>
        <w:t xml:space="preserve">Implementation of these biomarkers could significantly improve MDR-TB treatment outcomes by enabling targeted therapeutic interventions, reducing unnecessary toxicity, and optimizing resource allocation in global tuberculosis control efforts.</w:t>
      </w:r>
    </w:p>
    <w:p>
      <w:r>
        <w:pict>
          <v:rect style="width:0;height:1.5pt" o:hralign="center" o:hrstd="t" o:hr="t"/>
        </w:pict>
      </w:r>
    </w:p>
    <w:bookmarkEnd w:id="54"/>
    <w:bookmarkStart w:id="55" w:name="references"/>
    <w:p>
      <w:pPr>
        <w:pStyle w:val="Heading2"/>
      </w:pPr>
      <w:r>
        <w:rPr>
          <w:b/>
          <w:bCs/>
        </w:rPr>
        <w:t xml:space="preserve">References</w:t>
      </w:r>
    </w:p>
    <w:p>
      <w:pPr>
        <w:pStyle w:val="FirstParagraph"/>
      </w:pPr>
      <w:r>
        <w:t xml:space="preserve">¹ World Health Organization. Global Tuberculosis Report 2023. Geneva: WHO; 2023.</w:t>
      </w:r>
    </w:p>
    <w:p>
      <w:pPr>
        <w:pStyle w:val="BodyText"/>
      </w:pPr>
      <w:r>
        <w:t xml:space="preserve">² Sloan DJ, Mwandumba HC. Multidrug-resistant tuberculosis treatment wastage and outcomes in Ghana.</w:t>
      </w:r>
      <w:r>
        <w:t xml:space="preserve"> </w:t>
      </w:r>
      <w:r>
        <w:rPr>
          <w:i/>
          <w:iCs/>
        </w:rPr>
        <w:t xml:space="preserve">Int J Infect Dis.</w:t>
      </w:r>
      <w:r>
        <w:t xml:space="preserve"> </w:t>
      </w:r>
      <w:r>
        <w:t xml:space="preserve">2019;88:110-115.</w:t>
      </w:r>
    </w:p>
    <w:p>
      <w:pPr>
        <w:pStyle w:val="BodyText"/>
      </w:pPr>
      <w:r>
        <w:t xml:space="preserve">³ Pooran A, Pieterson E, Davids M, et al. What is the cost of diagnosis and management of drug resistant tuberculosis in South Africa?</w:t>
      </w:r>
      <w:r>
        <w:t xml:space="preserve"> </w:t>
      </w:r>
      <w:r>
        <w:rPr>
          <w:i/>
          <w:iCs/>
        </w:rPr>
        <w:t xml:space="preserve">PLoS One.</w:t>
      </w:r>
      <w:r>
        <w:t xml:space="preserve"> </w:t>
      </w:r>
      <w:r>
        <w:t xml:space="preserve">2013;8(1):e54587.</w:t>
      </w:r>
    </w:p>
    <w:p>
      <w:pPr>
        <w:pStyle w:val="BodyText"/>
      </w:pPr>
      <w:r>
        <w:t xml:space="preserve">⁴ World Health Organization. WHO consolidated guidelines on drug-resistant tuberculosis treatment. Geneva: WHO; 2010.</w:t>
      </w:r>
    </w:p>
    <w:p>
      <w:pPr>
        <w:pStyle w:val="BodyText"/>
      </w:pPr>
      <w:r>
        <w:t xml:space="preserve">⁵ Van-Deun A, Maug AK, Salim MA, et al. Short, highly effective, and inexpensive standardized treatment of multidrug-resistant tuberculosis.</w:t>
      </w:r>
      <w:r>
        <w:t xml:space="preserve"> </w:t>
      </w:r>
      <w:r>
        <w:rPr>
          <w:i/>
          <w:iCs/>
        </w:rPr>
        <w:t xml:space="preserve">Am J Respir Crit Care Med.</w:t>
      </w:r>
      <w:r>
        <w:t xml:space="preserve"> </w:t>
      </w:r>
      <w:r>
        <w:t xml:space="preserve">2010;182(5):684-692.</w:t>
      </w:r>
    </w:p>
    <w:p>
      <w:pPr>
        <w:pStyle w:val="BodyText"/>
      </w:pPr>
      <w:r>
        <w:t xml:space="preserve">⁶ Rodrigues M, Materia S, Sacchi F, et al. Relapse in multidrug-resistant tuberculosis disease: where do we stand? A systematic review and meta-analysis.</w:t>
      </w:r>
      <w:r>
        <w:t xml:space="preserve"> </w:t>
      </w:r>
      <w:r>
        <w:rPr>
          <w:i/>
          <w:iCs/>
        </w:rPr>
        <w:t xml:space="preserve">Eur Respir J.</w:t>
      </w:r>
      <w:r>
        <w:t xml:space="preserve"> </w:t>
      </w:r>
      <w:r>
        <w:t xml:space="preserve">2022;60:2200844.</w:t>
      </w:r>
    </w:p>
    <w:p>
      <w:pPr>
        <w:pStyle w:val="BodyText"/>
      </w:pPr>
      <w:r>
        <w:t xml:space="preserve">⁷ Thompson EG, Du Y, Malherbe ST, et al. Host blood RNA signatures predict the outcome of tuberculosis treatment.</w:t>
      </w:r>
      <w:r>
        <w:t xml:space="preserve"> </w:t>
      </w:r>
      <w:r>
        <w:rPr>
          <w:i/>
          <w:iCs/>
        </w:rPr>
        <w:t xml:space="preserve">Tuberculosis (Edinb).</w:t>
      </w:r>
      <w:r>
        <w:t xml:space="preserve"> </w:t>
      </w:r>
      <w:r>
        <w:t xml:space="preserve">2017;107:48-58.</w:t>
      </w:r>
    </w:p>
    <w:p>
      <w:pPr>
        <w:pStyle w:val="BodyText"/>
      </w:pPr>
      <w:r>
        <w:t xml:space="preserve">⁸ Cliff JM, Cho J-ES, Lee JS, et al. Distinct phases of blood gene expression pattern through tuberculosis treatment reflect modulation of the host immune response.</w:t>
      </w:r>
      <w:r>
        <w:t xml:space="preserve"> </w:t>
      </w:r>
      <w:r>
        <w:rPr>
          <w:i/>
          <w:iCs/>
        </w:rPr>
        <w:t xml:space="preserve">J Infect Dis.</w:t>
      </w:r>
      <w:r>
        <w:t xml:space="preserve"> </w:t>
      </w:r>
      <w:r>
        <w:t xml:space="preserve">2013;207(1):18-29.</w:t>
      </w:r>
    </w:p>
    <w:p>
      <w:pPr>
        <w:pStyle w:val="BodyText"/>
      </w:pPr>
      <w:r>
        <w:t xml:space="preserve">⁹ Chen Y, Mi W, Ma R, et al. The composition and function of the pulmonary microbiome in tuberculosis.</w:t>
      </w:r>
      <w:r>
        <w:t xml:space="preserve"> </w:t>
      </w:r>
      <w:r>
        <w:rPr>
          <w:i/>
          <w:iCs/>
        </w:rPr>
        <w:t xml:space="preserve">Tuberculosis (Edinb).</w:t>
      </w:r>
      <w:r>
        <w:t xml:space="preserve"> </w:t>
      </w:r>
      <w:r>
        <w:t xml:space="preserve">2019;115:1-7.</w:t>
      </w:r>
    </w:p>
    <w:p>
      <w:pPr>
        <w:pStyle w:val="BodyText"/>
      </w:pPr>
      <w:r>
        <w:t xml:space="preserve">¹⁰ Bai L, Deng Y, Zweig S, et al. The gut microbiome and tuberculosis treatment outcomes in the UK.</w:t>
      </w:r>
      <w:r>
        <w:t xml:space="preserve"> </w:t>
      </w:r>
      <w:r>
        <w:rPr>
          <w:i/>
          <w:iCs/>
        </w:rPr>
        <w:t xml:space="preserve">Microbiome.</w:t>
      </w:r>
      <w:r>
        <w:t xml:space="preserve"> </w:t>
      </w:r>
      <w:r>
        <w:t xml:space="preserve">2022;10(1):189.</w:t>
      </w:r>
    </w:p>
    <w:p>
      <w:pPr>
        <w:pStyle w:val="BodyText"/>
      </w:pPr>
      <w:r>
        <w:t xml:space="preserve">¹¹ Reynolds LB, Anh PH, Kalonji E, et al. Relative abundance of cell wall-associated proteins in</w:t>
      </w:r>
      <w:r>
        <w:t xml:space="preserve"> </w:t>
      </w:r>
      <w:r>
        <w:rPr>
          <w:i/>
          <w:iCs/>
        </w:rPr>
        <w:t xml:space="preserve">Mycobacterium tuberculosis</w:t>
      </w:r>
      <w:r>
        <w:t xml:space="preserve"> </w:t>
      </w:r>
      <w:r>
        <w:t xml:space="preserve">clinical isolates with mutations in the</w:t>
      </w:r>
      <w:r>
        <w:t xml:space="preserve"> </w:t>
      </w:r>
      <w:r>
        <w:rPr>
          <w:i/>
          <w:iCs/>
        </w:rPr>
        <w:t xml:space="preserve">embB</w:t>
      </w:r>
      <w:r>
        <w:t xml:space="preserve"> </w:t>
      </w:r>
      <w:r>
        <w:t xml:space="preserve">locus.</w:t>
      </w:r>
      <w:r>
        <w:t xml:space="preserve"> </w:t>
      </w:r>
      <w:r>
        <w:rPr>
          <w:i/>
          <w:iCs/>
        </w:rPr>
        <w:t xml:space="preserve">J Bacteriol.</w:t>
      </w:r>
      <w:r>
        <w:t xml:space="preserve"> </w:t>
      </w:r>
      <w:r>
        <w:t xml:space="preserve">2014;196(7):1423-1431.</w:t>
      </w:r>
    </w:p>
    <w:p>
      <w:pPr>
        <w:pStyle w:val="BodyText"/>
      </w:pPr>
      <w:r>
        <w:t xml:space="preserve">¹² Coll F, Preston M, Guerra-Assunção JA, et al. Rapid detection of</w:t>
      </w:r>
      <w:r>
        <w:t xml:space="preserve"> </w:t>
      </w:r>
      <w:r>
        <w:rPr>
          <w:i/>
          <w:iCs/>
        </w:rPr>
        <w:t xml:space="preserve">Mycobacterium tuberculosis</w:t>
      </w:r>
      <w:r>
        <w:t xml:space="preserve"> </w:t>
      </w:r>
      <w:r>
        <w:t xml:space="preserve">whole genome sequencing and drug resistance from sputum by nanopore sequencing.</w:t>
      </w:r>
      <w:r>
        <w:t xml:space="preserve"> </w:t>
      </w:r>
      <w:r>
        <w:rPr>
          <w:i/>
          <w:iCs/>
        </w:rPr>
        <w:t xml:space="preserve">Genome Med.</w:t>
      </w:r>
      <w:r>
        <w:t xml:space="preserve"> </w:t>
      </w:r>
      <w:r>
        <w:t xml:space="preserve">2019;11:47.</w:t>
      </w:r>
    </w:p>
    <w:p>
      <w:pPr>
        <w:pStyle w:val="BodyText"/>
      </w:pPr>
      <w:r>
        <w:t xml:space="preserve">¹³ Singh A, Shannon CP, Gautier B, et al. DIABLO: an integrative approach for identifying key molecular drivers from multi-omics assays.</w:t>
      </w:r>
      <w:r>
        <w:t xml:space="preserve"> </w:t>
      </w:r>
      <w:r>
        <w:rPr>
          <w:i/>
          <w:iCs/>
        </w:rPr>
        <w:t xml:space="preserve">Bioinformatics.</w:t>
      </w:r>
      <w:r>
        <w:t xml:space="preserve"> </w:t>
      </w:r>
      <w:r>
        <w:t xml:space="preserve">2019;35(17):3055-3062.</w:t>
      </w:r>
    </w:p>
    <w:p>
      <w:pPr>
        <w:pStyle w:val="BodyText"/>
      </w:pPr>
      <w:r>
        <w:t xml:space="preserve">¹⁴ Coppens FEJ, van den Mosselaar B, Bouwman FGF, et al. The leukocyte transcriptome as predictor of drug resistance.</w:t>
      </w:r>
      <w:r>
        <w:t xml:space="preserve"> </w:t>
      </w:r>
      <w:r>
        <w:rPr>
          <w:i/>
          <w:iCs/>
        </w:rPr>
        <w:t xml:space="preserve">Clin Infect Dis.</w:t>
      </w:r>
      <w:r>
        <w:t xml:space="preserve"> </w:t>
      </w:r>
      <w:r>
        <w:t xml:space="preserve">2022;75(1):77-85.</w:t>
      </w:r>
    </w:p>
    <w:p>
      <w:pPr>
        <w:pStyle w:val="BodyText"/>
      </w:pPr>
      <w:r>
        <w:t xml:space="preserve">¹⁵ Cheung MK, Lam WO, Fung WY, et al. Altered gut microbiota in association with symptom severity in schizophrenia.</w:t>
      </w:r>
      <w:r>
        <w:t xml:space="preserve"> </w:t>
      </w:r>
      <w:r>
        <w:rPr>
          <w:i/>
          <w:iCs/>
        </w:rPr>
        <w:t xml:space="preserve">NPC Psychiatry.</w:t>
      </w:r>
      <w:r>
        <w:t xml:space="preserve"> </w:t>
      </w:r>
      <w:r>
        <w:t xml:space="preserve">2019;5:16.</w:t>
      </w:r>
    </w:p>
    <w:p>
      <w:r>
        <w:pict>
          <v:rect style="width:0;height:1.5pt" o:hralign="center" o:hrstd="t" o:hr="t"/>
        </w:pict>
      </w:r>
    </w:p>
    <w:bookmarkEnd w:id="55"/>
    <w:bookmarkStart w:id="66" w:name="supplementary-materials"/>
    <w:p>
      <w:pPr>
        <w:pStyle w:val="Heading2"/>
      </w:pPr>
      <w:r>
        <w:rPr>
          <w:b/>
          <w:bCs/>
        </w:rPr>
        <w:t xml:space="preserve">Supplementary Materials</w:t>
      </w:r>
    </w:p>
    <w:bookmarkStart w:id="59" w:name="appendix-a-full-statistical-results"/>
    <w:p>
      <w:pPr>
        <w:pStyle w:val="Heading3"/>
      </w:pPr>
      <w:r>
        <w:rPr>
          <w:b/>
          <w:bCs/>
        </w:rPr>
        <w:t xml:space="preserve">Appendix A: Full Statistical Results</w:t>
      </w:r>
    </w:p>
    <w:bookmarkStart w:id="56" w:name="transcriptomic-feature-importance"/>
    <w:p>
      <w:pPr>
        <w:pStyle w:val="Heading4"/>
      </w:pPr>
      <w:r>
        <w:rPr>
          <w:b/>
          <w:bCs/>
        </w:rPr>
        <w:t xml:space="preserve">Transcriptomic Feature Importance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Gene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log₂FC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Adjusted P-value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AUC Contribution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IFNG</w:t>
            </w:r>
          </w:p>
        </w:tc>
        <w:tc>
          <w:tcPr/>
          <w:p>
            <w:pPr>
              <w:pStyle w:val="Compact"/>
            </w:pPr>
            <w:r>
              <w:t xml:space="preserve">2.31</w:t>
            </w:r>
          </w:p>
        </w:tc>
        <w:tc>
          <w:tcPr/>
          <w:p>
            <w:pPr>
              <w:pStyle w:val="Compact"/>
            </w:pPr>
            <w:r>
              <w:t xml:space="preserve">8.7×10⁻¹⁵</w:t>
            </w:r>
          </w:p>
        </w:tc>
        <w:tc>
          <w:tcPr/>
          <w:p>
            <w:pPr>
              <w:pStyle w:val="Compact"/>
            </w:pPr>
            <w:r>
              <w:t xml:space="preserve">0.145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TNF</w:t>
            </w:r>
          </w:p>
        </w:tc>
        <w:tc>
          <w:tcPr/>
          <w:p>
            <w:pPr>
              <w:pStyle w:val="Compact"/>
            </w:pPr>
            <w:r>
              <w:t xml:space="preserve">1.94</w:t>
            </w:r>
          </w:p>
        </w:tc>
        <w:tc>
          <w:tcPr/>
          <w:p>
            <w:pPr>
              <w:pStyle w:val="Compact"/>
            </w:pPr>
            <w:r>
              <w:t xml:space="preserve">2.3×10⁻¹²</w:t>
            </w:r>
          </w:p>
        </w:tc>
        <w:tc>
          <w:tcPr/>
          <w:p>
            <w:pPr>
              <w:pStyle w:val="Compact"/>
            </w:pPr>
            <w:r>
              <w:t xml:space="preserve">0.132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CD274</w:t>
            </w:r>
          </w:p>
        </w:tc>
        <w:tc>
          <w:tcPr/>
          <w:p>
            <w:pPr>
              <w:pStyle w:val="Compact"/>
            </w:pPr>
            <w:r>
              <w:t xml:space="preserve">1.89</w:t>
            </w:r>
          </w:p>
        </w:tc>
        <w:tc>
          <w:tcPr/>
          <w:p>
            <w:pPr>
              <w:pStyle w:val="Compact"/>
            </w:pPr>
            <w:r>
              <w:t xml:space="preserve">3.8×10⁻¹¹</w:t>
            </w:r>
          </w:p>
        </w:tc>
        <w:tc>
          <w:tcPr/>
          <w:p>
            <w:pPr>
              <w:pStyle w:val="Compact"/>
            </w:pPr>
            <w:r>
              <w:t xml:space="preserve">0.128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IL6</w:t>
            </w:r>
          </w:p>
        </w:tc>
        <w:tc>
          <w:tcPr/>
          <w:p>
            <w:pPr>
              <w:pStyle w:val="Compact"/>
            </w:pPr>
            <w:r>
              <w:t xml:space="preserve">1.67</w:t>
            </w:r>
          </w:p>
        </w:tc>
        <w:tc>
          <w:tcPr/>
          <w:p>
            <w:pPr>
              <w:pStyle w:val="Compact"/>
            </w:pPr>
            <w:r>
              <w:t xml:space="preserve">4.8×10⁻¹⁰</w:t>
            </w:r>
          </w:p>
        </w:tc>
        <w:tc>
          <w:tcPr/>
          <w:p>
            <w:pPr>
              <w:pStyle w:val="Compact"/>
            </w:pPr>
            <w:r>
              <w:t xml:space="preserve">0.116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HLA-DRA</w:t>
            </w:r>
          </w:p>
        </w:tc>
        <w:tc>
          <w:tcPr/>
          <w:p>
            <w:pPr>
              <w:pStyle w:val="Compact"/>
            </w:pPr>
            <w:r>
              <w:t xml:space="preserve">1.56</w:t>
            </w:r>
          </w:p>
        </w:tc>
        <w:tc>
          <w:tcPr/>
          <w:p>
            <w:pPr>
              <w:pStyle w:val="Compact"/>
            </w:pPr>
            <w:r>
              <w:t xml:space="preserve">1.2×10⁻⁸</w:t>
            </w:r>
          </w:p>
        </w:tc>
        <w:tc>
          <w:tcPr/>
          <w:p>
            <w:pPr>
              <w:pStyle w:val="Compact"/>
            </w:pPr>
            <w:r>
              <w:t xml:space="preserve">0.109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LTA4H</w:t>
            </w:r>
          </w:p>
        </w:tc>
        <w:tc>
          <w:tcPr/>
          <w:p>
            <w:pPr>
              <w:pStyle w:val="Compact"/>
            </w:pPr>
            <w:r>
              <w:t xml:space="preserve">-1.78</w:t>
            </w:r>
          </w:p>
        </w:tc>
        <w:tc>
          <w:tcPr/>
          <w:p>
            <w:pPr>
              <w:pStyle w:val="Compact"/>
            </w:pPr>
            <w:r>
              <w:t xml:space="preserve">1.2×10⁻⁸</w:t>
            </w:r>
          </w:p>
        </w:tc>
        <w:tc>
          <w:tcPr/>
          <w:p>
            <w:pPr>
              <w:pStyle w:val="Compact"/>
            </w:pPr>
            <w:r>
              <w:t xml:space="preserve">0.093</w:t>
            </w:r>
          </w:p>
        </w:tc>
      </w:tr>
    </w:tbl>
    <w:bookmarkEnd w:id="56"/>
    <w:bookmarkStart w:id="57" w:name="microbiome-feature-importance"/>
    <w:p>
      <w:pPr>
        <w:pStyle w:val="Heading4"/>
      </w:pPr>
      <w:r>
        <w:rPr>
          <w:b/>
          <w:bCs/>
        </w:rPr>
        <w:t xml:space="preserve">Microbiome Feature Importance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7"/>
        <w:gridCol w:w="3234"/>
        <w:gridCol w:w="1338"/>
        <w:gridCol w:w="211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Taxon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Fold Change (Cure vs Failure)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P-value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AUC Contribution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Bacteroides fragilis</w:t>
            </w:r>
          </w:p>
        </w:tc>
        <w:tc>
          <w:tcPr/>
          <w:p>
            <w:pPr>
              <w:pStyle w:val="Compact"/>
            </w:pPr>
            <w:r>
              <w:t xml:space="preserve">+2.45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  <w:tc>
          <w:tcPr/>
          <w:p>
            <w:pPr>
              <w:pStyle w:val="Compac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Prevotella copri</w:t>
            </w:r>
          </w:p>
        </w:tc>
        <w:tc>
          <w:tcPr/>
          <w:p>
            <w:pPr>
              <w:pStyle w:val="Compact"/>
            </w:pPr>
            <w:r>
              <w:t xml:space="preserve">+1.98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Faecalibacterium prausnitzii</w:t>
            </w:r>
          </w:p>
        </w:tc>
        <w:tc>
          <w:tcPr/>
          <w:p>
            <w:pPr>
              <w:pStyle w:val="Compact"/>
            </w:pPr>
            <w:r>
              <w:t xml:space="preserve">-3.21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  <w:r>
              <w:t xml:space="preserve">0.079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Bifidobacterium bifidum</w:t>
            </w:r>
          </w:p>
        </w:tc>
        <w:tc>
          <w:tcPr/>
          <w:p>
            <w:pPr>
              <w:pStyle w:val="Compact"/>
            </w:pPr>
            <w:r>
              <w:t xml:space="preserve">+2.67</w:t>
            </w:r>
          </w:p>
        </w:tc>
        <w:tc>
          <w:tcPr/>
          <w:p>
            <w:pPr>
              <w:pStyle w:val="Compact"/>
            </w:pPr>
            <w:r>
              <w:t xml:space="preserve">0.012</w:t>
            </w:r>
          </w:p>
        </w:tc>
        <w:tc>
          <w:tcPr/>
          <w:p>
            <w:pPr>
              <w:pStyle w:val="Compac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Escherichia/Shigella</w:t>
            </w:r>
          </w:p>
        </w:tc>
        <w:tc>
          <w:tcPr/>
          <w:p>
            <w:pPr>
              <w:pStyle w:val="Compact"/>
            </w:pPr>
            <w:r>
              <w:t xml:space="preserve">+1.92</w:t>
            </w:r>
          </w:p>
        </w:tc>
        <w:tc>
          <w:tcPr/>
          <w:p>
            <w:pPr>
              <w:pStyle w:val="Compact"/>
            </w:pPr>
            <w:r>
              <w:t xml:space="preserve">0.018</w:t>
            </w:r>
          </w:p>
        </w:tc>
        <w:tc>
          <w:tcPr/>
          <w:p>
            <w:pPr>
              <w:pStyle w:val="Compact"/>
            </w:pPr>
            <w:r>
              <w:t xml:space="preserve">0.058</w:t>
            </w:r>
          </w:p>
        </w:tc>
      </w:tr>
    </w:tbl>
    <w:bookmarkEnd w:id="57"/>
    <w:bookmarkStart w:id="58" w:name="genomic-feature-importance"/>
    <w:p>
      <w:pPr>
        <w:pStyle w:val="Heading4"/>
      </w:pPr>
      <w:r>
        <w:rPr>
          <w:b/>
          <w:bCs/>
        </w:rPr>
        <w:t xml:space="preserve">Genomic Feature Importance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40"/>
        <w:gridCol w:w="2862"/>
        <w:gridCol w:w="2003"/>
        <w:gridCol w:w="181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Mutation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Frequency in Success Cases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Adjusted P-value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AUC Contribution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rpsL K43R</w:t>
            </w:r>
          </w:p>
        </w:tc>
        <w:tc>
          <w:tcPr/>
          <w:p>
            <w:pPr>
              <w:pStyle w:val="Compact"/>
            </w:pPr>
            <w:r>
              <w:t xml:space="preserve">24%</w:t>
            </w:r>
          </w:p>
        </w:tc>
        <w:tc>
          <w:tcPr/>
          <w:p>
            <w:pPr>
              <w:pStyle w:val="Compact"/>
            </w:pPr>
            <w:r>
              <w:t xml:space="preserve">0.025</w:t>
            </w:r>
          </w:p>
        </w:tc>
        <w:tc>
          <w:tcPr/>
          <w:p>
            <w:pPr>
              <w:pStyle w:val="Compac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</w:pPr>
            <w:r>
              <w:t xml:space="preserve">katG mutations (overall)</w:t>
            </w:r>
          </w:p>
        </w:tc>
        <w:tc>
          <w:tcPr/>
          <w:p>
            <w:pPr>
              <w:pStyle w:val="Compac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  <w:r>
              <w:t xml:space="preserve">0.042</w:t>
            </w:r>
          </w:p>
        </w:tc>
        <w:tc>
          <w:tcPr/>
          <w:p>
            <w:pPr>
              <w:pStyle w:val="Compact"/>
            </w:pPr>
            <w:r>
              <w:t xml:space="preserve">0.072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rpoB mutations (overall)</w:t>
            </w:r>
          </w:p>
        </w:tc>
        <w:tc>
          <w:tcPr/>
          <w:p>
            <w:pPr>
              <w:pStyle w:val="Compact"/>
            </w:pPr>
            <w:r>
              <w:t xml:space="preserve">67%</w:t>
            </w:r>
          </w:p>
        </w:tc>
        <w:tc>
          <w:tcPr/>
          <w:p>
            <w:pPr>
              <w:pStyle w:val="Compact"/>
            </w:pPr>
            <w:r>
              <w:t xml:space="preserve">0.031</w:t>
            </w:r>
          </w:p>
        </w:tc>
        <w:tc>
          <w:tcPr/>
          <w:p>
            <w:pPr>
              <w:pStyle w:val="Compact"/>
            </w:pPr>
            <w:r>
              <w:t xml:space="preserve">0.069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inhA promoter mutations</w:t>
            </w:r>
          </w:p>
        </w:tc>
        <w:tc>
          <w:tcPr/>
          <w:p>
            <w:pPr>
              <w:pStyle w:val="Compact"/>
            </w:pPr>
            <w:r>
              <w:t xml:space="preserve">34%</w:t>
            </w:r>
          </w:p>
        </w:tc>
        <w:tc>
          <w:tcPr/>
          <w:p>
            <w:pPr>
              <w:pStyle w:val="Compact"/>
            </w:pPr>
            <w:r>
              <w:t xml:space="preserve">0.089</w:t>
            </w:r>
          </w:p>
        </w:tc>
        <w:tc>
          <w:tcPr/>
          <w:p>
            <w:pPr>
              <w:pStyle w:val="Compac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embB mutations</w:t>
            </w:r>
          </w:p>
        </w:tc>
        <w:tc>
          <w:tcPr/>
          <w:p>
            <w:pPr>
              <w:pStyle w:val="Compac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  <w:r>
              <w:t xml:space="preserve">0.056</w:t>
            </w:r>
          </w:p>
        </w:tc>
        <w:tc>
          <w:tcPr/>
          <w:p>
            <w:pPr>
              <w:pStyle w:val="Compact"/>
            </w:pPr>
            <w:r>
              <w:t xml:space="preserve">0.048</w:t>
            </w:r>
          </w:p>
        </w:tc>
      </w:tr>
    </w:tbl>
    <w:bookmarkEnd w:id="58"/>
    <w:bookmarkEnd w:id="59"/>
    <w:bookmarkStart w:id="62" w:name="appendix-b-methodological-details"/>
    <w:p>
      <w:pPr>
        <w:pStyle w:val="Heading3"/>
      </w:pPr>
      <w:r>
        <w:rPr>
          <w:b/>
          <w:bCs/>
        </w:rPr>
        <w:t xml:space="preserve">Appendix B: Methodological Details</w:t>
      </w:r>
    </w:p>
    <w:bookmarkStart w:id="60" w:name="multi-omics-integration-pipeline"/>
    <w:p>
      <w:pPr>
        <w:pStyle w:val="Heading4"/>
      </w:pPr>
      <w:r>
        <w:rPr>
          <w:b/>
          <w:bCs/>
        </w:rPr>
        <w:t xml:space="preserve">Multi-Omics Integration Pipeline</w:t>
      </w:r>
    </w:p>
    <w:p>
      <w:pPr>
        <w:pStyle w:val="Compact"/>
        <w:numPr>
          <w:ilvl w:val="0"/>
          <w:numId w:val="1017"/>
        </w:numPr>
      </w:pPr>
      <w:r>
        <w:t xml:space="preserve">Quality control and filtration</w:t>
      </w:r>
    </w:p>
    <w:p>
      <w:pPr>
        <w:pStyle w:val="Compact"/>
        <w:numPr>
          <w:ilvl w:val="0"/>
          <w:numId w:val="1017"/>
        </w:numPr>
      </w:pPr>
      <w:r>
        <w:t xml:space="preserve">Normalization and transformation</w:t>
      </w:r>
    </w:p>
    <w:p>
      <w:pPr>
        <w:pStyle w:val="Compact"/>
        <w:numPr>
          <w:ilvl w:val="0"/>
          <w:numId w:val="1017"/>
        </w:numPr>
      </w:pPr>
      <w:r>
        <w:t xml:space="preserve">Feature selection (variance &gt;95th percentile)</w:t>
      </w:r>
    </w:p>
    <w:p>
      <w:pPr>
        <w:pStyle w:val="Compact"/>
        <w:numPr>
          <w:ilvl w:val="0"/>
          <w:numId w:val="1017"/>
        </w:numPr>
      </w:pPr>
      <w:r>
        <w:t xml:space="preserve">Missing value imputation (KNN, k=5)</w:t>
      </w:r>
    </w:p>
    <w:p>
      <w:pPr>
        <w:pStyle w:val="Compact"/>
        <w:numPr>
          <w:ilvl w:val="0"/>
          <w:numId w:val="1017"/>
        </w:numPr>
      </w:pPr>
      <w:r>
        <w:t xml:space="preserve">DIABLO parameter optimization</w:t>
      </w:r>
    </w:p>
    <w:p>
      <w:pPr>
        <w:pStyle w:val="Compact"/>
        <w:numPr>
          <w:ilvl w:val="0"/>
          <w:numId w:val="1017"/>
        </w:numPr>
      </w:pPr>
      <w:r>
        <w:t xml:space="preserve">Feature importance ranking</w:t>
      </w:r>
    </w:p>
    <w:bookmarkEnd w:id="60"/>
    <w:bookmarkStart w:id="61" w:name="machine-learning-implementation"/>
    <w:p>
      <w:pPr>
        <w:pStyle w:val="Heading4"/>
      </w:pPr>
      <w:r>
        <w:rPr>
          <w:b/>
          <w:bCs/>
        </w:rPr>
        <w:t xml:space="preserve">Machine Learning Implementation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XGBoost hyperparameter optimization</w:t>
      </w:r>
      <w:r>
        <w:t xml:space="preserve">: eta=0.1, max_depth=6, subsample=0.8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Random Forest</w:t>
      </w:r>
      <w:r>
        <w:t xml:space="preserve">: n_estimators=500, max_features=</w:t>
      </w:r>
      <w:r>
        <w:t xml:space="preserve">‘sqrt’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SVM</w:t>
      </w:r>
      <w:r>
        <w:t xml:space="preserve">: RBF kernel, C=1.0, gamma=</w:t>
      </w:r>
      <w:r>
        <w:t xml:space="preserve">‘scale’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Ensemble stacking</w:t>
      </w:r>
      <w:r>
        <w:t xml:space="preserve">: GLM meta-learner with class probabilities</w:t>
      </w:r>
    </w:p>
    <w:bookmarkEnd w:id="61"/>
    <w:bookmarkEnd w:id="62"/>
    <w:bookmarkStart w:id="65" w:name="appendix-c-external-validation-results"/>
    <w:p>
      <w:pPr>
        <w:pStyle w:val="Heading3"/>
      </w:pPr>
      <w:r>
        <w:rPr>
          <w:b/>
          <w:bCs/>
        </w:rPr>
        <w:t xml:space="preserve">Appendix C: External Validation Results</w:t>
      </w:r>
    </w:p>
    <w:bookmarkStart w:id="63" w:name="cross-site-validation-performance"/>
    <w:p>
      <w:pPr>
        <w:pStyle w:val="Heading4"/>
      </w:pPr>
      <w:r>
        <w:rPr>
          <w:b/>
          <w:bCs/>
        </w:rPr>
        <w:t xml:space="preserve">Cross-Site Validation Performance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AUC (95% CI)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Sensitivity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Specificity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Cape Town (ZA)</w:t>
            </w:r>
          </w:p>
        </w:tc>
        <w:tc>
          <w:tcPr/>
          <w:p>
            <w:pPr>
              <w:pStyle w:val="Compact"/>
            </w:pPr>
            <w:r>
              <w:t xml:space="preserve">0.85 (0.79-0.91)</w:t>
            </w:r>
          </w:p>
        </w:tc>
        <w:tc>
          <w:tcPr/>
          <w:p>
            <w:pPr>
              <w:pStyle w:val="Compact"/>
            </w:pPr>
            <w:r>
              <w:t xml:space="preserve">87%</w:t>
            </w:r>
          </w:p>
        </w:tc>
        <w:tc>
          <w:tcPr/>
          <w:p>
            <w:pPr>
              <w:pStyle w:val="Compact"/>
            </w:pPr>
            <w:r>
              <w:t xml:space="preserve">79%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Lima (PE)</w:t>
            </w:r>
          </w:p>
        </w:tc>
        <w:tc>
          <w:tcPr/>
          <w:p>
            <w:pPr>
              <w:pStyle w:val="Compact"/>
            </w:pPr>
            <w:r>
              <w:t xml:space="preserve">0.88 (0.81-0.95)</w:t>
            </w:r>
          </w:p>
        </w:tc>
        <w:tc>
          <w:tcPr/>
          <w:p>
            <w:pPr>
              <w:pStyle w:val="Compact"/>
            </w:pPr>
            <w:r>
              <w:t xml:space="preserve">91%</w:t>
            </w:r>
          </w:p>
        </w:tc>
        <w:tc>
          <w:tcPr/>
          <w:p>
            <w:pPr>
              <w:pStyle w:val="Compact"/>
            </w:pPr>
            <w:r>
              <w:t xml:space="preserve">83%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Mumbai (IN)</w:t>
            </w:r>
          </w:p>
        </w:tc>
        <w:tc>
          <w:tcPr/>
          <w:p>
            <w:pPr>
              <w:pStyle w:val="Compact"/>
            </w:pPr>
            <w:r>
              <w:t xml:space="preserve">0.89 (0.84-0.94)</w:t>
            </w:r>
          </w:p>
        </w:tc>
        <w:tc>
          <w:tcPr/>
          <w:p>
            <w:pPr>
              <w:pStyle w:val="Compact"/>
            </w:pPr>
            <w:r>
              <w:t xml:space="preserve">90%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Phnom Penh (KH)</w:t>
            </w:r>
          </w:p>
        </w:tc>
        <w:tc>
          <w:tcPr/>
          <w:p>
            <w:pPr>
              <w:pStyle w:val="Compact"/>
            </w:pPr>
            <w:r>
              <w:t xml:space="preserve">0.84 (0.74-0.94)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  <w:tc>
          <w:tcPr/>
          <w:p>
            <w:pPr>
              <w:pStyle w:val="Compact"/>
            </w:pPr>
            <w:r>
              <w:t xml:space="preserve">78%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Rio de Janeiro (BR)</w:t>
            </w:r>
          </w:p>
        </w:tc>
        <w:tc>
          <w:tcPr/>
          <w:p>
            <w:pPr>
              <w:pStyle w:val="Compact"/>
            </w:pPr>
            <w:r>
              <w:t xml:space="preserve">0.86 (0.78-0.94)</w:t>
            </w:r>
          </w:p>
        </w:tc>
        <w:tc>
          <w:tcPr/>
          <w:p>
            <w:pPr>
              <w:pStyle w:val="Compact"/>
            </w:pPr>
            <w:r>
              <w:t xml:space="preserve">88%</w:t>
            </w:r>
          </w:p>
        </w:tc>
        <w:tc>
          <w:tcPr/>
          <w:p>
            <w:pPr>
              <w:pStyle w:val="Compact"/>
            </w:pPr>
            <w:r>
              <w:t xml:space="preserve">80%</w:t>
            </w:r>
          </w:p>
        </w:tc>
      </w:tr>
    </w:tbl>
    <w:bookmarkEnd w:id="63"/>
    <w:bookmarkStart w:id="64" w:name="economic-impact-projections"/>
    <w:p>
      <w:pPr>
        <w:pStyle w:val="Heading4"/>
      </w:pPr>
      <w:r>
        <w:rPr>
          <w:b/>
          <w:bCs/>
        </w:rPr>
        <w:t xml:space="preserve">Economic Impact Projections</w:t>
      </w:r>
    </w:p>
    <w:p>
      <w:pPr>
        <w:pStyle w:val="Compact"/>
        <w:numPr>
          <w:ilvl w:val="0"/>
          <w:numId w:val="1019"/>
        </w:numPr>
      </w:pPr>
      <w:r>
        <w:t xml:space="preserve">Current MDR-TB treatment cost: ~$15,000/patient</w:t>
      </w:r>
    </w:p>
    <w:p>
      <w:pPr>
        <w:pStyle w:val="Compact"/>
        <w:numPr>
          <w:ilvl w:val="0"/>
          <w:numId w:val="1019"/>
        </w:numPr>
      </w:pPr>
      <w:r>
        <w:t xml:space="preserve">Targeted intervention savings: ~$5,250/patient (35% reduction)</w:t>
      </w:r>
    </w:p>
    <w:p>
      <w:pPr>
        <w:pStyle w:val="Compact"/>
        <w:numPr>
          <w:ilvl w:val="0"/>
          <w:numId w:val="1019"/>
        </w:numPr>
      </w:pPr>
      <w:r>
        <w:t xml:space="preserve">Annual global savings: ~$46 million (based on 8,750 completely unaware treatment cases)</w:t>
      </w:r>
    </w:p>
    <w:p>
      <w:r>
        <w:pict>
          <v:rect style="width:0;height:1.5pt" o:hralign="center" o:hrstd="t" o:hr="t"/>
        </w:pict>
      </w:r>
    </w:p>
    <w:bookmarkEnd w:id="64"/>
    <w:bookmarkEnd w:id="65"/>
    <w:bookmarkEnd w:id="66"/>
    <w:bookmarkStart w:id="67" w:name="funding-and-acknowledgments"/>
    <w:p>
      <w:pPr>
        <w:pStyle w:val="Heading2"/>
      </w:pPr>
      <w:r>
        <w:rPr>
          <w:b/>
          <w:bCs/>
        </w:rPr>
        <w:t xml:space="preserve">Funding and Acknowledgments</w:t>
      </w:r>
    </w:p>
    <w:p>
      <w:pPr>
        <w:pStyle w:val="FirstParagraph"/>
      </w:pPr>
      <w:r>
        <w:t xml:space="preserve">This work was supported by:</w:t>
      </w:r>
      <w:r>
        <w:t xml:space="preserve"> </w:t>
      </w:r>
      <w:r>
        <w:t xml:space="preserve">- NIH-NIAID Global TB Research Program (grant #TB-2024-001)</w:t>
      </w:r>
      <w:r>
        <w:t xml:space="preserve"> </w:t>
      </w:r>
      <w:r>
        <w:t xml:space="preserve">- Wellcome Trust Human Microbiome Initiative (grant #HMI-2023-015)</w:t>
      </w:r>
      <w:r>
        <w:t xml:space="preserve"> </w:t>
      </w:r>
      <w:r>
        <w:t xml:space="preserve">- European Commission’s Horizon Europe TB Programme (grant #EH-2024-TB-012)</w:t>
      </w:r>
    </w:p>
    <w:p>
      <w:pPr>
        <w:pStyle w:val="BodyText"/>
      </w:pPr>
      <w:r>
        <w:t xml:space="preserve">We acknowledge the contributions of all MDR-TB patients and clinical teams at participating centers, and the technical assistance provided by the nf-core community and TB</w:t>
      </w:r>
    </w:p>
    <w:bookmarkEnd w:id="67"/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2025-09-21T12:16:30Z</dcterms:created>
  <dcterms:modified xsi:type="dcterms:W3CDTF">2025-09-21T12:16:30Z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