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Burnout Interventions Healthcare Workers Systematic Review</w:t>
      </w:r>
    </w:p>
    <w:p>
      <w:r>
        <w:t>---</w:t>
        <w:br/>
        <w:t>title: "Protocol: Comparative Effectiveness of Digital vs In-Person Interventions for Healthcare Worker Burnout - A Systematic Review and Network Meta-Analysis"</w:t>
        <w:br/>
        <w:t>author:</w:t>
        <w:br/>
        <w:t xml:space="preserve">  - name: Dr. Sofia Ramirez</w:t>
        <w:br/>
        <w:t xml:space="preserve">    affiliation: Department of Occupational Medicine, Johns Hopkins University School of Medicine</w:t>
        <w:br/>
        <w:t xml:space="preserve">    corresponding: true</w:t>
        <w:br/>
        <w:t xml:space="preserve">    email: sofia.ramirez@jhmi.edu</w:t>
        <w:br/>
        <w:t xml:space="preserve">  - name: Dr. Michael Chen</w:t>
        <w:br/>
        <w:t xml:space="preserve">    affiliation: Department of Psychiatry, University of California, San Francisco</w:t>
        <w:br/>
        <w:t xml:space="preserve">  - name: Prof. Amanda Johnson</w:t>
        <w:br/>
        <w:t xml:space="preserve">    affiliation: Division of Health Policy, George Washington University</w:t>
        <w:br/>
        <w:t>date: "September 21, 2025"</w:t>
        <w:br/>
        <w:t>abstract: |</w:t>
        <w:br/>
        <w:t xml:space="preserve">  **Background:** Healthcare worker burnout affects 60-80% of professionals globally, exacerbated by the COVID-19 pandemic with unprecedented surge of digital interventions. While both digital (apps, teletherapy, online platforms) and in-person (group therapy, workshops, counseling) interventions exist, no comprehensive synthesis compares their effectiveness comprehensively.</w:t>
        <w:br/>
        <w:br/>
        <w:t xml:space="preserve">  **Objectives:** To conduct a systematic review and network meta-analysis comparing digital versus in-person interventions for healthcare worker burnout, including direct and indirect evidence across intervention types.</w:t>
        <w:br/>
        <w:br/>
        <w:t xml:space="preserve">  **Methods:** Systematic search of PubMed, EMBASE, Cochrane Library, Web of Science, and PsycINFO from 2010 onwards. Include RCTs, non-randomized controlled trials, quasi-experimental studies comparing digital or in-person interventions against controls. Primary outcomes: burnout incidence/severity (Maslach Burnout Inventory), secondary outcomes: retention rates, job satisfaction, quality of life. Risk of bias assessed using RoB 2 and ROBINS-I. Network meta-analysis will rank interventions by effectiveness.</w:t>
        <w:br/>
        <w:br/>
        <w:t xml:space="preserve">  **Discussion:** This review will inform healthcare administrators and policymakers on optimal burnout intervention strategies, considering cost-effectiveness, scalability, and access during workforce shortages.</w:t>
        <w:br/>
        <w:t>---</w:t>
        <w:br/>
        <w:br/>
        <w:t># Burnout Interventions for Healthcare Workers: Systemat...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