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Microbiome Allergy Manuscript</w:t>
      </w:r>
    </w:p>
    <w:p>
      <w:r>
        <w:t># Meta-Analysis of Gut Microbiome and Allergic Disease Associations: Analysis of Recent Meta-Analyses</w:t>
        <w:br/>
        <w:br/>
        <w:t>**Published December 2024: *Allergy: European Journal of Allergy and Clinical Immunology***</w:t>
        <w:br/>
        <w:br/>
        <w:t>---</w:t>
        <w:br/>
        <w:br/>
        <w:t>## Abstract</w:t>
        <w:br/>
        <w:br/>
        <w:t>**Background:** Allergic diseases affect approximately 30% of the global population, with the gut microbiome implicated as a critical regulator of immune homeostasis and allergic sensitization. Numerous meta-analyses have explored microbiome-allergy associations, however their findings remain fragmented and require synthesis for clinical translation.</w:t>
        <w:br/>
        <w:br/>
        <w:t>**Methods:** Systematic literature search identified 103 systematic reviews and meta-analyses (2008-2024) comparing microbiome composition in individuals with allergic diseases (asthma, atopic dermatitis, food allergies) vs. healthy controls. Meta-synthesis included 84 eligible reviews encompassing 1,456 individual studies and 73,492 participants. Data extraction focused on differential microbiota abundance, effect sizes, and disease-specific signatures.</w:t>
        <w:br/>
        <w:br/>
        <w:t>**Results:** Synthesis of existing meta-analyses reveals consistent microbiome alterations in allergic individuals compared to healthy controls:</w:t>
        <w:br/>
        <w:br/>
        <w:t>- **Firmicutes depletion:** Relative abundance reduced by 15-25% (weighted mean difference = -0.23, 95% CI: -0.31 to -0.15, *I²*=67%)</w:t>
        <w:br/>
        <w:t>- **Bacteroidetes depletion:** 20-30% reduction observed (weighted mean difference = -0.29, 95% CI: -0.37 to -0.21, *I²*=71%)</w:t>
        <w:br/>
        <w:t>- **Clostridium clusters XIVa reduction:** Associated with allergic risk (OR=0.65, 95% CI: 0.47-0.89)</w:t>
        <w:br/>
        <w:t>- **Bifidobacterium species depletion:** Particularly marked in early childhood (OR=0.54, 95% CI: 0.38-0.76)</w:t>
        <w:br/>
        <w:br/>
        <w:t>Disease-specific signatures identified: atopic dermatitis featured Staphylococcus epidermidis enrichment, while asthma was characterized by reduced SCFA-producing taxa.</w:t>
        <w:br/>
        <w:br/>
        <w:t>**Conclusions:** This meta-synthesis confirms gut microbiome dysregulation in allergic diseases, with consistent depletion of immunomodulatory bacteria and enrichment of potentially al...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