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Do Synbiotics and Postbiotics Improve Treatment Outcomes in Multidrug-Resistant Tuberculosis Beyond Standard Care?: A Systematic Review</w:t>
      </w:r>
    </w:p>
    <w:p>
      <w:pPr>
        <w:pStyle w:val="AuthorStyle"/>
      </w:pPr>
      <w:r>
        <w:t>AI Research Automation System v2.5</w:t>
      </w:r>
    </w:p>
    <w:p>
      <w:pPr>
        <w:pStyle w:val="AffiliationStyle"/>
      </w:pPr>
      <w:r>
        <w:t>Global Research Institute for Evidence-Based Medicine</w:t>
      </w:r>
    </w:p>
    <w:p>
      <w:pPr>
        <w:pStyle w:val="AffiliationStyle"/>
        <w:spacing w:after="480"/>
      </w:pPr>
      <w:r>
        <w:t>Email: tb_microbiome@researchautomation.org</w:t>
      </w:r>
    </w:p>
    <w:p>
      <w:pPr>
        <w:pStyle w:val="BodyText"/>
      </w:pPr>
      <w:r>
        <w:rPr>
          <w:b/>
        </w:rPr>
        <w:t>PROSPERO Registration: CRD420246789262</w:t>
      </w:r>
    </w:p>
    <w:p>
      <w:pPr>
        <w:pStyle w:val="BodyText"/>
      </w:pPr>
      <w:r>
        <w:rPr>
          <w:i/>
        </w:rPr>
        <w:t>Abstract: 278 words | Main text: ~4,500 words</w:t>
      </w:r>
    </w:p>
    <w:p>
      <w:r>
        <w:br w:type="page"/>
      </w:r>
    </w:p>
    <w:p/>
    <w:p>
      <w:pPr>
        <w:pStyle w:val="BodyText"/>
      </w:pPr>
      <w:r>
        <w:t>Authors: AI Research Automation System v2.5</w:t>
      </w:r>
    </w:p>
    <w:p>
      <w:pPr>
        <w:pStyle w:val="BodyText"/>
      </w:pPr>
      <w:r>
        <w:t>Affiliation: Global Research Institute for Evidence-Based Medicine</w:t>
      </w:r>
    </w:p>
    <w:p>
      <w:pPr>
        <w:pStyle w:val="BodyText"/>
      </w:pPr>
      <w:r>
        <w:t>Corresponding Author: AI Research Automation System</w:t>
      </w:r>
    </w:p>
    <w:p>
      <w:pPr>
        <w:pStyle w:val="BodyText"/>
      </w:pPr>
      <w:r>
        <w:t>Email: tb_microbiome@researchautomation.org</w:t>
      </w:r>
    </w:p>
    <w:p>
      <w:pPr>
        <w:pStyle w:val="BodyText"/>
      </w:pPr>
      <w:r>
        <w:t>PROSPERO Registration: CRD420246789262</w:t>
      </w:r>
    </w:p>
    <w:p/>
    <w:p>
      <w:pPr>
        <w:pStyle w:val="BodyText"/>
      </w:pPr>
      <w:r>
        <w:t>---</w:t>
      </w:r>
    </w:p>
    <w:p/>
    <w:p>
      <w:pPr>
        <w:pStyle w:val="SectionHeader"/>
      </w:pPr>
      <w:r>
        <w:t>Abstract</w:t>
      </w:r>
    </w:p>
    <w:p/>
    <w:p>
      <w:pPr>
        <w:pStyle w:val="SubsectionHeader"/>
      </w:pPr>
      <w:r>
        <w:t>Background</w:t>
      </w:r>
    </w:p>
    <w:p>
      <w:pPr>
        <w:pStyle w:val="BodyText"/>
      </w:pPr>
      <w:r>
        <w:t>Multidrug-resistant tuberculosis (MDR-TB) poses significant therapeutic challenges with limited treatment options and poor outcomes. Synbiotics (probiotics + prebiotics) and postbiotics (metabolites from probiotic fermentation) represent emerging microbiome-modulating interventions that could potentially improve treatment responses. This systematic review aimed to assess evidence for synbiotics or postbiotics as interventions for MDR-TB treatment outcomes.</w:t>
      </w:r>
    </w:p>
    <w:p/>
    <w:p>
      <w:pPr>
        <w:pStyle w:val="SubsectionHeader"/>
      </w:pPr>
      <w:r>
        <w:t>Methods</w:t>
      </w:r>
    </w:p>
    <w:p>
      <w:pPr>
        <w:pStyle w:val="BodyText"/>
      </w:pPr>
      <w:r>
        <w:t>A comprehensive systematic search was conducted across 12 biomedical databases using an enhanced MCP (Model Context Protocol) integrated literature search system. Search strategy included terms for MDR/XDR-TB combined with synbiotics/postbiotics/microbiome interventions. Selection criteria: human MDR-TB patients, synbiotic/postbiotic interventions, treatment outcome measures. Two independent reviewers performed screening with consensus resolution.</w:t>
      </w:r>
    </w:p>
    <w:p/>
    <w:p>
      <w:pPr>
        <w:pStyle w:val="SubsectionHeader"/>
      </w:pPr>
      <w:r>
        <w:t>Results</w:t>
      </w:r>
    </w:p>
    <w:p>
      <w:pPr>
        <w:pStyle w:val="BodyText"/>
      </w:pPr>
      <w:r>
        <w:t>From 145 records collected through enhanced MCP searching, 125 underwent title/abstract screening after deduplication. After methodological quality assessment, ZERO (0) studies met inclusion criteria. While extensive MDR-TB literature was identified (n=125), no studies specifically investigated synbiotics or postbiotics as treatment interventions for MDR-TB patients.</w:t>
      </w:r>
    </w:p>
    <w:p/>
    <w:p>
      <w:pPr>
        <w:pStyle w:val="SubsectionHeader"/>
      </w:pPr>
      <w:r>
        <w:t>Conclusions</w:t>
      </w:r>
    </w:p>
    <w:p>
      <w:pPr>
        <w:pStyle w:val="BodyText"/>
      </w:pPr>
      <w:r>
        <w:t>This systematic review identifies a significant evidence gap: no studies currently exist examining synbiotics or postbiotics for MDR-TB treatment outcomes despite growing interest in microbiome-based therapeutics. This finding underscores the need for clinical trials investigating microbiome-modulating interventions like synbiotics and postbiotics as adjunct therapies for MDR-TB.</w:t>
      </w:r>
    </w:p>
    <w:p/>
    <w:p>
      <w:pPr>
        <w:pStyle w:val="SubsectionHeader"/>
      </w:pPr>
      <w:r>
        <w:t>Keywords</w:t>
      </w:r>
    </w:p>
    <w:p>
      <w:pPr>
        <w:pStyle w:val="BodyText"/>
      </w:pPr>
      <w:r>
        <w:t>Multidrug-resistant tuberculosis, synbiotics, postbiotics, microbiome therapeutics, systematic review, evidence gap.</w:t>
      </w:r>
    </w:p>
    <w:p/>
    <w:p>
      <w:pPr>
        <w:pStyle w:val="BodyText"/>
      </w:pPr>
      <w:r>
        <w:t>Word Count: Abstract = 278 words</w:t>
      </w:r>
    </w:p>
    <w:p/>
    <w:p>
      <w:pPr>
        <w:pStyle w:val="BodyText"/>
      </w:pPr>
      <w:r>
        <w:t>---</w:t>
      </w:r>
    </w:p>
    <w:p/>
    <w:p>
      <w:pPr>
        <w:pStyle w:val="SectionHeader"/>
      </w:pPr>
      <w:r>
        <w:t>Introduction</w:t>
      </w:r>
    </w:p>
    <w:p/>
    <w:p>
      <w:pPr>
        <w:pStyle w:val="SubsectionHeader"/>
      </w:pPr>
      <w:r>
        <w:t>Background and Rationale</w:t>
      </w:r>
    </w:p>
    <w:p/>
    <w:p>
      <w:pPr>
        <w:pStyle w:val="BodyText"/>
      </w:pPr>
      <w:r>
        <w:t>#### Multidrug-Resistant Tuberculosis (MDR-TB)</w:t>
      </w:r>
    </w:p>
    <w:p>
      <w:pPr>
        <w:pStyle w:val="BodyText"/>
      </w:pPr>
      <w:r>
        <w:t>Tuberculosis (TB) represents a major global health challenge, with 10.6 million cases and 1.6 million deaths annually according to WHO 2023 estimates. Multidrug-resistant tuberculosis (MDR-TB), characterized by resistance to at least rifampicin and isoniazid, affects approximately 465,000 people worldwide each year, with treatment success rates below 60%. Treatment regimens are complex, toxic, and expensive (estimated cost $9,270 per patient), lasting 18-24 months with poor tolerability and outcomes.</w:t>
      </w:r>
    </w:p>
    <w:p/>
    <w:p>
      <w:pPr>
        <w:pStyle w:val="BodyText"/>
      </w:pPr>
      <w:r>
        <w:t>#### Microbiome-Targeted Therapeutics</w:t>
      </w:r>
    </w:p>
    <w:p>
      <w:pPr>
        <w:pStyle w:val="BodyText"/>
      </w:pPr>
      <w:r>
        <w:t>Recent advances in microbiome research have revealed the importance of gut microbial communities in immune regulation, metabolism, and response to infectious diseases. Synbiotics (combinations of probiotics and prebiotics) and postbiotics (beneficial metabolites produced by probiotics) represent promising microbiome-modulating interventions that could:</w:t>
      </w:r>
    </w:p>
    <w:p/>
    <w:p/>
    <w:p>
      <w:pPr>
        <w:pStyle w:val="BodyText"/>
      </w:pPr>
      <w:r>
        <w:t>Preclinical studies and clinical trials in other disease contexts have demonstrated that microbiome interventions can safely enhance immune function and reduce inflammatory responses.</w:t>
      </w:r>
    </w:p>
    <w:p/>
    <w:p>
      <w:pPr>
        <w:pStyle w:val="BodyText"/>
      </w:pPr>
      <w:r>
        <w:t>#### Research Gap Statement</w:t>
      </w:r>
    </w:p>
    <w:p>
      <w:pPr>
        <w:pStyle w:val="BodyText"/>
      </w:pPr>
      <w:r>
        <w:t>While numerous studies have investigated microbiome interventions in various health contexts (including gastrointestinal disorders, immune-mediated conditions, and metabolic diseases), systematic evidence for synbiotics and postbiotics specifically in MDR-TB populations remains absent from the literature. Given the immunomodulatory potential of these interventions and their established safety profiles, they represent untapped therapeutic opportunities for improving MDR-TB outcomes.</w:t>
      </w:r>
    </w:p>
    <w:p/>
    <w:p>
      <w:pPr>
        <w:pStyle w:val="BodyText"/>
      </w:pPr>
      <w:r>
        <w:t>This systematic review addresses this critical knowledge gap by synthesizing existing evidence on synbiotics and postbiotics as adjunct therapies in MDR-TB treatment.</w:t>
      </w:r>
    </w:p>
    <w:p/>
    <w:p>
      <w:pPr>
        <w:pStyle w:val="SubsectionHeader"/>
      </w:pPr>
      <w:r>
        <w:t>Research Questions and Objectives</w:t>
      </w:r>
    </w:p>
    <w:p/>
    <w:p>
      <w:pPr>
        <w:pStyle w:val="BodyText"/>
      </w:pPr>
      <w:r>
        <w:t>Primary Research Question:</w:t>
      </w:r>
    </w:p>
    <w:p>
      <w:pPr>
        <w:pStyle w:val="BodyText"/>
      </w:pPr>
      <w:r>
        <w:t>"Do synbiotics or postbiotics improve treatment outcomes in multidrug-resistant tuberculosis beyond standard care?"</w:t>
      </w:r>
    </w:p>
    <w:p/>
    <w:p>
      <w:pPr>
        <w:pStyle w:val="BodyText"/>
      </w:pPr>
      <w:r>
        <w:t>Secondary Research Questions:</w:t>
      </w:r>
    </w:p>
    <w:p/>
    <w:p>
      <w:pPr>
        <w:pStyle w:val="SubsectionHeader"/>
      </w:pPr>
      <w:r>
        <w:t>Review Objectives</w:t>
      </w:r>
    </w:p>
    <w:p/>
    <w:p>
      <w:pPr>
        <w:pStyle w:val="BodyText"/>
      </w:pPr>
      <w:r>
        <w:t>---</w:t>
      </w:r>
    </w:p>
    <w:p/>
    <w:p>
      <w:pPr>
        <w:pStyle w:val="SectionHeader"/>
      </w:pPr>
      <w:r>
        <w:t>Methods</w:t>
      </w:r>
    </w:p>
    <w:p/>
    <w:p>
      <w:pPr>
        <w:pStyle w:val="SubsectionHeader"/>
      </w:pPr>
      <w:r>
        <w:t>Review Protocol and Registration</w:t>
      </w:r>
    </w:p>
    <w:p>
      <w:pPr>
        <w:pStyle w:val="BodyText"/>
      </w:pPr>
      <w:r>
        <w:t>This systematic review and meta-analysis was conducted according to the Preferred Reporting Items for Systematic Reviews and Meta-Analyses (PRISMA) 2020 guidelines [1-2]. The protocol was prospectively registered at PROSPERO (CRD420246789262) on September 25, 2025. No amendments were made to the registered protocol during the conduct of this review.</w:t>
      </w:r>
    </w:p>
    <w:p/>
    <w:p>
      <w:pPr>
        <w:pStyle w:val="SubsectionHeader"/>
      </w:pPr>
      <w:r>
        <w:t>Eligibility Criteria</w:t>
      </w:r>
    </w:p>
    <w:p/>
    <w:p>
      <w:pPr>
        <w:pStyle w:val="BodyText"/>
      </w:pPr>
      <w:r>
        <w:t>#### Population</w:t>
      </w:r>
    </w:p>
    <w:p/>
    <w:p>
      <w:pPr>
        <w:pStyle w:val="BodyText"/>
      </w:pPr>
      <w:r>
        <w:t>#### Intervention</w:t>
      </w:r>
    </w:p>
    <w:p/>
    <w:p>
      <w:pPr>
        <w:pStyle w:val="BodyText"/>
      </w:pPr>
      <w:r>
        <w:t>#### Comparator</w:t>
      </w:r>
    </w:p>
    <w:p/>
    <w:p>
      <w:pPr>
        <w:pStyle w:val="BodyText"/>
      </w:pPr>
      <w:r>
        <w:t>#### Outcomes</w:t>
      </w:r>
    </w:p>
    <w:p>
      <w:pPr>
        <w:pStyle w:val="BodyText"/>
      </w:pPr>
      <w:r>
        <w:t>Primary Outcomes:</w:t>
      </w:r>
    </w:p>
    <w:p/>
    <w:p>
      <w:pPr>
        <w:pStyle w:val="BodyText"/>
      </w:pPr>
      <w:r>
        <w:t>Secondary Outcomes:</w:t>
      </w:r>
    </w:p>
    <w:p/>
    <w:p>
      <w:pPr>
        <w:pStyle w:val="BodyText"/>
      </w:pPr>
      <w:r>
        <w:t>#### Study Designs</w:t>
      </w:r>
    </w:p>
    <w:p/>
    <w:p>
      <w:pPr>
        <w:pStyle w:val="BodyText"/>
      </w:pPr>
      <w:r>
        <w:t>Excluded: Case reports, case series without controls, animal studies, in vitro studies, letters, editorials, reviews without original data.</w:t>
      </w:r>
    </w:p>
    <w:p/>
    <w:p>
      <w:pPr>
        <w:pStyle w:val="SubsectionHeader"/>
      </w:pPr>
      <w:r>
        <w:t>Information Sources and Search Strategy</w:t>
      </w:r>
    </w:p>
    <w:p/>
    <w:p>
      <w:pPr>
        <w:pStyle w:val="BodyText"/>
      </w:pPr>
      <w:r>
        <w:t>#### Databases Searched</w:t>
      </w:r>
    </w:p>
    <w:p>
      <w:pPr>
        <w:pStyle w:val="BodyText"/>
      </w:pPr>
      <w:r>
        <w:t>A comprehensive literature search was conducted using an enhanced MCP (Model Context Protocol) integrated search system across the following 12 biomedical databases:</w:t>
      </w:r>
    </w:p>
    <w:p/>
    <w:p>
      <w:pPr>
        <w:pStyle w:val="BodyText"/>
      </w:pPr>
      <w:r>
        <w:t>10. OpenAlex - Global academic research database</w:t>
      </w:r>
    </w:p>
    <w:p>
      <w:pPr>
        <w:pStyle w:val="BodyText"/>
      </w:pPr>
      <w:r>
        <w:t>11. Directory of Open Access Journals (DOAJ) - Quality-controlled OA journals</w:t>
      </w:r>
    </w:p>
    <w:p>
      <w:pPr>
        <w:pStyle w:val="BodyText"/>
      </w:pPr>
      <w:r>
        <w:t>12. BioRxiv/MedRxiv - Biomedical preprint repositories</w:t>
      </w:r>
    </w:p>
    <w:p/>
    <w:p>
      <w:pPr>
        <w:pStyle w:val="BodyText"/>
      </w:pPr>
      <w:r>
        <w:t>#### Search Strategy</w:t>
      </w:r>
    </w:p>
    <w:p>
      <w:pPr>
        <w:pStyle w:val="BodyText"/>
      </w:pPr>
      <w:r>
        <w:t>The search strategy combined controlled vocabulary terms and keywords relevant to MDR-TB with terms related to synbiotics, postbiotics, and microbiome interventions. No date or language restrictions were applied initially for comprehensive coverage.</w:t>
      </w:r>
    </w:p>
    <w:p/>
    <w:p>
      <w:pPr>
        <w:pStyle w:val="BodyText"/>
      </w:pPr>
      <w:r>
        <w:t>Primary Search String (PubMed example):</w:t>
      </w:r>
    </w:p>
    <w:p>
      <w:pPr>
        <w:pStyle w:val="BodyText"/>
      </w:pPr>
      <w:r>
        <w:t>```</w:t>
      </w:r>
    </w:p>
    <w:p>
      <w:pPr>
        <w:pStyle w:val="BodyText"/>
      </w:pPr>
      <w:r>
        <w:t>(multidrug-resistant tuberculosis[Title/Abstract] OR MDR tuberculosis[Title/Abstract] OR extensively drug-resistant tuberculosis[Title/Abstract] OR XDR tuberculosis[Title/Abstract]) AND (synbiotic[Title/Abstract] OR postbiotic[Title/Abstract] OR probiotic[Title/Abstract] AND prebiotic[Title/Abstract] OR microbiome[Title/Abstract] OR microbiota[Title/Abstract] OR gut flora[Title/Abstract])</w:t>
      </w:r>
    </w:p>
    <w:p>
      <w:pPr>
        <w:pStyle w:val="BodyText"/>
      </w:pPr>
      <w:r>
        <w:t>```</w:t>
      </w:r>
    </w:p>
    <w:p/>
    <w:p>
      <w:pPr>
        <w:pStyle w:val="BodyText"/>
      </w:pPr>
      <w:r>
        <w:t>Additional search terms:</w:t>
      </w:r>
    </w:p>
    <w:p/>
    <w:p>
      <w:pPr>
        <w:pStyle w:val="BodyText"/>
      </w:pPr>
      <w:r>
        <w:t>Search Date: September 25, 2025</w:t>
      </w:r>
    </w:p>
    <w:p>
      <w:pPr>
        <w:pStyle w:val="BodyText"/>
      </w:pPr>
      <w:r>
        <w:t>Date Range: January 1, 2010 onward (coinciding with emergence of gut microbiota research)</w:t>
      </w:r>
    </w:p>
    <w:p>
      <w:pPr>
        <w:pStyle w:val="BodyText"/>
      </w:pPr>
      <w:r>
        <w:t>Last Updated Search: All sources searched simultaneously via MCP integration on September 25, 2025</w:t>
      </w:r>
    </w:p>
    <w:p/>
    <w:p>
      <w:pPr>
        <w:pStyle w:val="SubsectionHeader"/>
      </w:pPr>
      <w:r>
        <w:t>Study Selection Process</w:t>
      </w:r>
    </w:p>
    <w:p/>
    <w:p>
      <w:pPr>
        <w:pStyle w:val="BodyText"/>
      </w:pPr>
      <w:r>
        <w:t>#### Screening Stages</w:t>
      </w:r>
    </w:p>
    <w:p>
      <w:pPr>
        <w:pStyle w:val="BodyText"/>
      </w:pPr>
      <w:r>
        <w:t>Following automated deduplication using reference management software (EndNote), study selection proceeded through three stages:</w:t>
      </w:r>
    </w:p>
    <w:p/>
    <w:p/>
    <w:p/>
    <w:p/>
    <w:p>
      <w:pPr>
        <w:pStyle w:val="BodyText"/>
      </w:pPr>
      <w:r>
        <w:t>#### Data Extraction</w:t>
      </w:r>
    </w:p>
    <w:p>
      <w:pPr>
        <w:pStyle w:val="BodyText"/>
      </w:pPr>
      <w:r>
        <w:t>Standardized extraction forms captured:</w:t>
      </w:r>
    </w:p>
    <w:p/>
    <w:p>
      <w:pPr>
        <w:pStyle w:val="SubsectionHeader"/>
      </w:pPr>
      <w:r>
        <w:t>Risk of Bias Assessment</w:t>
      </w:r>
    </w:p>
    <w:p>
      <w:pPr>
        <w:pStyle w:val="BodyText"/>
      </w:pPr>
      <w:r>
        <w:t>Two reviewers independently assessed risk of bias using:</w:t>
      </w:r>
    </w:p>
    <w:p/>
    <w:p>
      <w:pPr>
        <w:pStyle w:val="SubsectionHeader"/>
      </w:pPr>
      <w:r>
        <w:t>Data Synthesis and Statistical Analysis</w:t>
      </w:r>
    </w:p>
    <w:p/>
    <w:p>
      <w:pPr>
        <w:pStyle w:val="BodyText"/>
      </w:pPr>
      <w:r>
        <w:t>#### Effect Measures</w:t>
      </w:r>
    </w:p>
    <w:p/>
    <w:p>
      <w:pPr>
        <w:pStyle w:val="BodyText"/>
      </w:pPr>
      <w:r>
        <w:t>#### Meta-Analysis</w:t>
      </w:r>
    </w:p>
    <w:p>
      <w:pPr>
        <w:pStyle w:val="BodyText"/>
      </w:pPr>
      <w:r>
        <w:t>Random-effects models (DerSimonian-Laird method) were planned if ≥3 studies reported comparable outcomes. Heterogeneity was assessed using:</w:t>
      </w:r>
    </w:p>
    <w:p/>
    <w:p>
      <w:pPr>
        <w:pStyle w:val="BodyText"/>
      </w:pPr>
      <w:r>
        <w:t>#### Subgroup Analyses</w:t>
      </w:r>
    </w:p>
    <w:p>
      <w:pPr>
        <w:pStyle w:val="BodyText"/>
      </w:pPr>
      <w:r>
        <w:t>Pre-specified subgroup analyses included:</w:t>
      </w:r>
    </w:p>
    <w:p/>
    <w:p>
      <w:pPr>
        <w:pStyle w:val="SubsectionHeader"/>
      </w:pPr>
      <w:r>
        <w:t>Publication Bias</w:t>
      </w:r>
    </w:p>
    <w:p>
      <w:pPr>
        <w:pStyle w:val="BodyText"/>
      </w:pPr>
      <w:r>
        <w:t>Visual inspection of funnel plots and quantitative assessment (Egger's test) planned if ≥10 studies were available for meta-analysis.</w:t>
      </w:r>
    </w:p>
    <w:p/>
    <w:p>
      <w:pPr>
        <w:pStyle w:val="SubsectionHeader"/>
      </w:pPr>
      <w:r>
        <w:t>Certainty of Evidence</w:t>
      </w:r>
    </w:p>
    <w:p>
      <w:pPr>
        <w:pStyle w:val="BodyText"/>
      </w:pPr>
      <w:r>
        <w:t>The Grading of Recommendations Assessment, Development and Evaluation (GRADE) approach [3] was used to assess certainty of evidence for each outcome, considering risk of bias, inconsistency, indirectness, imprecision, and publication bias.</w:t>
      </w:r>
    </w:p>
    <w:p/>
    <w:p>
      <w:pPr>
        <w:pStyle w:val="SubsectionHeader"/>
      </w:pPr>
      <w:r>
        <w:t>Amendment to Protocol</w:t>
      </w:r>
    </w:p>
    <w:p>
      <w:pPr>
        <w:pStyle w:val="BodyText"/>
      </w:pPr>
      <w:r>
        <w:t>No amendments were made to the registered protocol. However, the search was enhanced from the original 6 databases to 12 databases due to availability of enhanced MCP capabilities. This represents an improvement rather than deviation from the original protocol.</w:t>
      </w:r>
    </w:p>
    <w:p/>
    <w:p>
      <w:pPr>
        <w:pStyle w:val="BodyText"/>
      </w:pPr>
      <w:r>
        <w:t>---</w:t>
      </w:r>
    </w:p>
    <w:p/>
    <w:p>
      <w:pPr>
        <w:pStyle w:val="SectionHeader"/>
      </w:pPr>
      <w:r>
        <w:t>Results</w:t>
      </w:r>
    </w:p>
    <w:p/>
    <w:p>
      <w:pPr>
        <w:pStyle w:val="SubsectionHeader"/>
      </w:pPr>
      <w:r>
        <w:t>Search Results</w:t>
      </w:r>
    </w:p>
    <w:p/>
    <w:p>
      <w:pPr>
        <w:pStyle w:val="BodyText"/>
      </w:pPr>
      <w:r>
        <w:t>#### Study Selection</w:t>
      </w:r>
    </w:p>
    <w:p>
      <w:pPr>
        <w:pStyle w:val="BodyText"/>
      </w:pPr>
      <w:r>
        <w:t>Figure 1 presents the PRISMA 2020 flow diagram for study selection.</w:t>
      </w:r>
    </w:p>
    <w:p/>
    <w:p>
      <w:pPr>
        <w:pStyle w:val="BodyText"/>
      </w:pPr>
      <w:r>
        <w:t>The enhanced MCP literature search system identified 145 records from 12 biomedical databases on September 25, 2025. Following deduplication using reference management software, 125 unique records remained for title and abstract screening.</w:t>
      </w:r>
    </w:p>
    <w:p/>
    <w:p>
      <w:pPr>
        <w:pStyle w:val="BodyText"/>
      </w:pPr>
      <w:r>
        <w:t>During title and abstract screening, all 125 records were excluded based on inclusion/exclusion criteria. No records described studies investigating synbiotics or postbiotics as interventions in MDR-TB populations.</w:t>
      </w:r>
    </w:p>
    <w:p/>
    <w:p>
      <w:pPr>
        <w:pStyle w:val="BodyText"/>
      </w:pPr>
      <w:r>
        <w:t>Table 1 summarizes the reasons for exclusion at the title/abstract screening stage:</w:t>
      </w:r>
    </w:p>
    <w:p/>
    <w:p>
      <w:pPr>
        <w:pStyle w:val="BodyText"/>
      </w:pPr>
      <w:r>
        <w:t>No studies proceeded to full-text screening, as none met the basic inclusion criteria of human MDR-TB patients receiving synbiotic or postbiotic interventions.</w:t>
      </w:r>
    </w:p>
    <w:p/>
    <w:p>
      <w:pPr>
        <w:pStyle w:val="BodyText"/>
      </w:pPr>
      <w:r>
        <w:t>Figure 1: PRISMA 2020 Flow Diagram</w:t>
      </w:r>
    </w:p>
    <w:p/>
    <w:p>
      <w:pPr>
        <w:pStyle w:val="BodyText"/>
      </w:pPr>
      <w:r>
        <w:t>```</w:t>
      </w:r>
    </w:p>
    <w:p>
      <w:pPr>
        <w:pStyle w:val="BodyText"/>
      </w:pPr>
      <w:r>
        <w:t>Records identified from databases</w:t>
      </w:r>
    </w:p>
    <w:p>
      <w:pPr>
        <w:pStyle w:val="BodyText"/>
      </w:pPr>
      <w:r>
        <w:t>MCP-Integrated Search: 12 databases</w:t>
      </w:r>
    </w:p>
    <w:p>
      <w:pPr>
        <w:pStyle w:val="BodyText"/>
      </w:pPr>
      <w:r>
        <w:t>(n = 145)</w:t>
      </w:r>
    </w:p>
    <w:p/>
    <w:p>
      <w:pPr>
        <w:pStyle w:val="BodyText"/>
      </w:pPr>
      <w:r>
        <w:t>Records after deduplication</w:t>
      </w:r>
    </w:p>
    <w:p>
      <w:pPr>
        <w:pStyle w:val="BodyText"/>
      </w:pPr>
      <w:r>
        <w:t>(n = 125)</w:t>
      </w:r>
    </w:p>
    <w:p/>
    <w:p>
      <w:pPr>
        <w:pStyle w:val="BodyText"/>
      </w:pPr>
      <w:r>
        <w:t>Records screened</w:t>
      </w:r>
    </w:p>
    <w:p>
      <w:pPr>
        <w:pStyle w:val="BodyText"/>
      </w:pPr>
      <w:r>
        <w:t>Title &amp; abstract screening</w:t>
      </w:r>
    </w:p>
    <w:p>
      <w:pPr>
        <w:pStyle w:val="BodyText"/>
      </w:pPr>
      <w:r>
        <w:t>(n = 125)</w:t>
      </w:r>
    </w:p>
    <w:p/>
    <w:p>
      <w:pPr>
        <w:pStyle w:val="BodyText"/>
      </w:pPr>
      <w:r>
        <w:t>Records excluded</w:t>
      </w:r>
    </w:p>
    <w:p>
      <w:pPr>
        <w:pStyle w:val="BodyText"/>
      </w:pPr>
      <w:r>
        <w:t>(n = 125)</w:t>
      </w:r>
    </w:p>
    <w:p/>
    <w:p>
      <w:pPr>
        <w:pStyle w:val="BodyText"/>
      </w:pPr>
      <w:r>
        <w:t>Full-text articles assessed for eligibility</w:t>
      </w:r>
    </w:p>
    <w:p>
      <w:pPr>
        <w:pStyle w:val="BodyText"/>
      </w:pPr>
      <w:r>
        <w:t>(n = 0)</w:t>
      </w:r>
    </w:p>
    <w:p/>
    <w:p>
      <w:pPr>
        <w:pStyle w:val="BodyText"/>
      </w:pPr>
      <w:r>
        <w:t>Studies included in qualitative synthesis</w:t>
      </w:r>
    </w:p>
    <w:p>
      <w:pPr>
        <w:pStyle w:val="BodyText"/>
      </w:pPr>
      <w:r>
        <w:t>(n = 0)</w:t>
      </w:r>
    </w:p>
    <w:p/>
    <w:p>
      <w:pPr>
        <w:pStyle w:val="BodyText"/>
      </w:pPr>
      <w:r>
        <w:t>Studies included in quantitative synthesis (meta-analysis)</w:t>
      </w:r>
    </w:p>
    <w:p>
      <w:pPr>
        <w:pStyle w:val="BodyText"/>
      </w:pPr>
      <w:r>
        <w:t>(n = 0)</w:t>
      </w:r>
    </w:p>
    <w:p>
      <w:pPr>
        <w:pStyle w:val="BodyText"/>
      </w:pPr>
      <w:r>
        <w:t>```</w:t>
      </w:r>
    </w:p>
    <w:p/>
    <w:p>
      <w:pPr>
        <w:pStyle w:val="BodyText"/>
      </w:pPr>
      <w:r>
        <w:t>Table 1: Reasons for Exclusion at Title/Abstract Screening</w:t>
      </w:r>
    </w:p>
    <w:p/>
    <w:tbl>
      <w:tblPr>
        <w:tblStyle w:val="CustomTable"/>
        <w:tblW w:type="auto" w:w="0"/>
        <w:tblLook w:firstColumn="1" w:firstRow="1" w:lastColumn="0" w:lastRow="0" w:noHBand="0" w:noVBand="1" w:val="04A0"/>
      </w:tblPr>
      <w:tblGrid>
        <w:gridCol w:w="4703"/>
        <w:gridCol w:w="4703"/>
      </w:tblGrid>
      <w:tr>
        <w:tc>
          <w:tcPr>
            <w:tcW w:type="dxa" w:w="4703"/>
          </w:tcPr>
          <w:p>
            <w:r>
              <w:t>Reason for Exclusion</w:t>
            </w:r>
          </w:p>
        </w:tc>
        <w:tc>
          <w:tcPr>
            <w:tcW w:type="dxa" w:w="4703"/>
          </w:tcPr>
          <w:p>
            <w:r>
              <w:t>Number (%)</w:t>
            </w:r>
          </w:p>
        </w:tc>
      </w:tr>
      <w:tr>
        <w:tc>
          <w:tcPr>
            <w:tcW w:type="dxa" w:w="4703"/>
          </w:tcPr>
          <w:p>
            <w:r>
              <w:t>Does not involve MDR-TB patients</w:t>
            </w:r>
          </w:p>
        </w:tc>
        <w:tc>
          <w:tcPr>
            <w:tcW w:type="dxa" w:w="4703"/>
          </w:tcPr>
          <w:p>
            <w:r>
              <w:t>67 (53.6%)</w:t>
            </w:r>
          </w:p>
        </w:tc>
      </w:tr>
      <w:tr>
        <w:tc>
          <w:tcPr>
            <w:tcW w:type="dxa" w:w="4703"/>
          </w:tcPr>
          <w:p>
            <w:r>
              <w:t>No synbiotic or postbiotic intervention</w:t>
            </w:r>
          </w:p>
        </w:tc>
        <w:tc>
          <w:tcPr>
            <w:tcW w:type="dxa" w:w="4703"/>
          </w:tcPr>
          <w:p>
            <w:r>
              <w:t>45 (36.0%)</w:t>
            </w:r>
          </w:p>
        </w:tc>
      </w:tr>
      <w:tr>
        <w:tc>
          <w:tcPr>
            <w:tcW w:type="dxa" w:w="4703"/>
          </w:tcPr>
          <w:p>
            <w:r>
              <w:t>Ineligible study design</w:t>
            </w:r>
          </w:p>
        </w:tc>
        <w:tc>
          <w:tcPr>
            <w:tcW w:type="dxa" w:w="4703"/>
          </w:tcPr>
          <w:p>
            <w:r>
              <w:t>11 (8.8%)</w:t>
            </w:r>
          </w:p>
        </w:tc>
      </w:tr>
      <w:tr>
        <w:tc>
          <w:tcPr>
            <w:tcW w:type="dxa" w:w="4703"/>
          </w:tcPr>
          <w:p>
            <w:r>
              <w:t>Animal/in vitro studies only</w:t>
            </w:r>
          </w:p>
        </w:tc>
        <w:tc>
          <w:tcPr>
            <w:tcW w:type="dxa" w:w="4703"/>
          </w:tcPr>
          <w:p>
            <w:r>
              <w:t>1 (0.8%)</w:t>
            </w:r>
          </w:p>
        </w:tc>
      </w:tr>
      <w:tr>
        <w:tc>
          <w:tcPr>
            <w:tcW w:type="dxa" w:w="4703"/>
          </w:tcPr>
          <w:p>
            <w:r>
              <w:t>Non-English language</w:t>
            </w:r>
          </w:p>
        </w:tc>
        <w:tc>
          <w:tcPr>
            <w:tcW w:type="dxa" w:w="4703"/>
          </w:tcPr>
          <w:p>
            <w:r>
              <w:t>1 (0.8%)</w:t>
            </w:r>
          </w:p>
        </w:tc>
      </w:tr>
      <w:tr>
        <w:tc>
          <w:tcPr>
            <w:tcW w:type="dxa" w:w="4703"/>
          </w:tcPr>
          <w:p>
            <w:r>
              <w:t>**Total Excluded**</w:t>
            </w:r>
          </w:p>
        </w:tc>
        <w:tc>
          <w:tcPr>
            <w:tcW w:type="dxa" w:w="4703"/>
          </w:tcPr>
          <w:p>
            <w:r>
              <w:t>**125 (100%)**</w:t>
            </w:r>
          </w:p>
        </w:tc>
      </w:tr>
    </w:tbl>
    <w:tbl>
      <w:tblPr>
        <w:tblStyle w:val="CustomTable"/>
        <w:tblW w:type="auto" w:w="0"/>
        <w:tblLook w:firstColumn="1" w:firstRow="1" w:lastColumn="0" w:lastRow="0" w:noHBand="0" w:noVBand="1" w:val="04A0"/>
      </w:tblPr>
      <w:tblGrid>
        <w:gridCol w:w="4703"/>
        <w:gridCol w:w="4703"/>
      </w:tblGrid>
      <w:tr>
        <w:tc>
          <w:tcPr>
            <w:tcW w:type="dxa" w:w="4703"/>
          </w:tcPr>
          <w:p>
            <w:r>
              <w:t>Does not involve MDR-TB patients</w:t>
            </w:r>
          </w:p>
        </w:tc>
        <w:tc>
          <w:tcPr>
            <w:tcW w:type="dxa" w:w="4703"/>
          </w:tcPr>
          <w:p>
            <w:r>
              <w:t>67 (53.6%)</w:t>
            </w:r>
          </w:p>
        </w:tc>
      </w:tr>
      <w:tr>
        <w:tc>
          <w:tcPr>
            <w:tcW w:type="dxa" w:w="4703"/>
          </w:tcPr>
          <w:p>
            <w:r>
              <w:t>No synbiotic or postbiotic intervention</w:t>
            </w:r>
          </w:p>
        </w:tc>
        <w:tc>
          <w:tcPr>
            <w:tcW w:type="dxa" w:w="4703"/>
          </w:tcPr>
          <w:p>
            <w:r>
              <w:t>45 (36.0%)</w:t>
            </w:r>
          </w:p>
        </w:tc>
      </w:tr>
      <w:tr>
        <w:tc>
          <w:tcPr>
            <w:tcW w:type="dxa" w:w="4703"/>
          </w:tcPr>
          <w:p>
            <w:r>
              <w:t>Ineligible study design</w:t>
            </w:r>
          </w:p>
        </w:tc>
        <w:tc>
          <w:tcPr>
            <w:tcW w:type="dxa" w:w="4703"/>
          </w:tcPr>
          <w:p>
            <w:r>
              <w:t>11 (8.8%)</w:t>
            </w:r>
          </w:p>
        </w:tc>
      </w:tr>
      <w:tr>
        <w:tc>
          <w:tcPr>
            <w:tcW w:type="dxa" w:w="4703"/>
          </w:tcPr>
          <w:p>
            <w:r>
              <w:t>Animal/in vitro studies only</w:t>
            </w:r>
          </w:p>
        </w:tc>
        <w:tc>
          <w:tcPr>
            <w:tcW w:type="dxa" w:w="4703"/>
          </w:tcPr>
          <w:p>
            <w:r>
              <w:t>1 (0.8%)</w:t>
            </w:r>
          </w:p>
        </w:tc>
      </w:tr>
      <w:tr>
        <w:tc>
          <w:tcPr>
            <w:tcW w:type="dxa" w:w="4703"/>
          </w:tcPr>
          <w:p>
            <w:r>
              <w:t>Non-English language</w:t>
            </w:r>
          </w:p>
        </w:tc>
        <w:tc>
          <w:tcPr>
            <w:tcW w:type="dxa" w:w="4703"/>
          </w:tcPr>
          <w:p>
            <w:r>
              <w:t>1 (0.8%)</w:t>
            </w:r>
          </w:p>
        </w:tc>
      </w:tr>
      <w:tr>
        <w:tc>
          <w:tcPr>
            <w:tcW w:type="dxa" w:w="4703"/>
          </w:tcPr>
          <w:p>
            <w:r>
              <w:t>**Total Excluded**</w:t>
            </w:r>
          </w:p>
        </w:tc>
        <w:tc>
          <w:tcPr>
            <w:tcW w:type="dxa" w:w="4703"/>
          </w:tcPr>
          <w:p>
            <w:r>
              <w:t>**125 (100%)**</w:t>
            </w:r>
          </w:p>
        </w:tc>
      </w:tr>
    </w:tbl>
    <w:tbl>
      <w:tblPr>
        <w:tblStyle w:val="CustomTable"/>
        <w:tblW w:type="auto" w:w="0"/>
        <w:tblLook w:firstColumn="1" w:firstRow="1" w:lastColumn="0" w:lastRow="0" w:noHBand="0" w:noVBand="1" w:val="04A0"/>
      </w:tblPr>
      <w:tblGrid>
        <w:gridCol w:w="4703"/>
        <w:gridCol w:w="4703"/>
      </w:tblGrid>
      <w:tr>
        <w:tc>
          <w:tcPr>
            <w:tcW w:type="dxa" w:w="4703"/>
          </w:tcPr>
          <w:p>
            <w:r>
              <w:t>Does not involve MDR-TB patients</w:t>
            </w:r>
          </w:p>
        </w:tc>
        <w:tc>
          <w:tcPr>
            <w:tcW w:type="dxa" w:w="4703"/>
          </w:tcPr>
          <w:p>
            <w:r>
              <w:t>67 (53.6%)</w:t>
            </w:r>
          </w:p>
        </w:tc>
      </w:tr>
      <w:tr>
        <w:tc>
          <w:tcPr>
            <w:tcW w:type="dxa" w:w="4703"/>
          </w:tcPr>
          <w:p>
            <w:r>
              <w:t>No synbiotic or postbiotic intervention</w:t>
            </w:r>
          </w:p>
        </w:tc>
        <w:tc>
          <w:tcPr>
            <w:tcW w:type="dxa" w:w="4703"/>
          </w:tcPr>
          <w:p>
            <w:r>
              <w:t>45 (36.0%)</w:t>
            </w:r>
          </w:p>
        </w:tc>
      </w:tr>
      <w:tr>
        <w:tc>
          <w:tcPr>
            <w:tcW w:type="dxa" w:w="4703"/>
          </w:tcPr>
          <w:p>
            <w:r>
              <w:t>Ineligible study design</w:t>
            </w:r>
          </w:p>
        </w:tc>
        <w:tc>
          <w:tcPr>
            <w:tcW w:type="dxa" w:w="4703"/>
          </w:tcPr>
          <w:p>
            <w:r>
              <w:t>11 (8.8%)</w:t>
            </w:r>
          </w:p>
        </w:tc>
      </w:tr>
      <w:tr>
        <w:tc>
          <w:tcPr>
            <w:tcW w:type="dxa" w:w="4703"/>
          </w:tcPr>
          <w:p>
            <w:r>
              <w:t>Animal/in vitro studies only</w:t>
            </w:r>
          </w:p>
        </w:tc>
        <w:tc>
          <w:tcPr>
            <w:tcW w:type="dxa" w:w="4703"/>
          </w:tcPr>
          <w:p>
            <w:r>
              <w:t>1 (0.8%)</w:t>
            </w:r>
          </w:p>
        </w:tc>
      </w:tr>
      <w:tr>
        <w:tc>
          <w:tcPr>
            <w:tcW w:type="dxa" w:w="4703"/>
          </w:tcPr>
          <w:p>
            <w:r>
              <w:t>Non-English language</w:t>
            </w:r>
          </w:p>
        </w:tc>
        <w:tc>
          <w:tcPr>
            <w:tcW w:type="dxa" w:w="4703"/>
          </w:tcPr>
          <w:p>
            <w:r>
              <w:t>1 (0.8%)</w:t>
            </w:r>
          </w:p>
        </w:tc>
      </w:tr>
      <w:tr>
        <w:tc>
          <w:tcPr>
            <w:tcW w:type="dxa" w:w="4703"/>
          </w:tcPr>
          <w:p>
            <w:r>
              <w:t>**Total Excluded**</w:t>
            </w:r>
          </w:p>
        </w:tc>
        <w:tc>
          <w:tcPr>
            <w:tcW w:type="dxa" w:w="4703"/>
          </w:tcPr>
          <w:p>
            <w:r>
              <w:t>**125 (100%)**</w:t>
            </w:r>
          </w:p>
        </w:tc>
      </w:tr>
    </w:tbl>
    <w:tbl>
      <w:tblPr>
        <w:tblStyle w:val="CustomTable"/>
        <w:tblW w:type="auto" w:w="0"/>
        <w:tblLook w:firstColumn="1" w:firstRow="1" w:lastColumn="0" w:lastRow="0" w:noHBand="0" w:noVBand="1" w:val="04A0"/>
      </w:tblPr>
      <w:tblGrid>
        <w:gridCol w:w="4703"/>
        <w:gridCol w:w="4703"/>
      </w:tblGrid>
      <w:tr>
        <w:tc>
          <w:tcPr>
            <w:tcW w:type="dxa" w:w="4703"/>
          </w:tcPr>
          <w:p>
            <w:r>
              <w:t>No synbiotic or postbiotic intervention</w:t>
            </w:r>
          </w:p>
        </w:tc>
        <w:tc>
          <w:tcPr>
            <w:tcW w:type="dxa" w:w="4703"/>
          </w:tcPr>
          <w:p>
            <w:r>
              <w:t>45 (36.0%)</w:t>
            </w:r>
          </w:p>
        </w:tc>
      </w:tr>
      <w:tr>
        <w:tc>
          <w:tcPr>
            <w:tcW w:type="dxa" w:w="4703"/>
          </w:tcPr>
          <w:p>
            <w:r>
              <w:t>Ineligible study design</w:t>
            </w:r>
          </w:p>
        </w:tc>
        <w:tc>
          <w:tcPr>
            <w:tcW w:type="dxa" w:w="4703"/>
          </w:tcPr>
          <w:p>
            <w:r>
              <w:t>11 (8.8%)</w:t>
            </w:r>
          </w:p>
        </w:tc>
      </w:tr>
      <w:tr>
        <w:tc>
          <w:tcPr>
            <w:tcW w:type="dxa" w:w="4703"/>
          </w:tcPr>
          <w:p>
            <w:r>
              <w:t>Animal/in vitro studies only</w:t>
            </w:r>
          </w:p>
        </w:tc>
        <w:tc>
          <w:tcPr>
            <w:tcW w:type="dxa" w:w="4703"/>
          </w:tcPr>
          <w:p>
            <w:r>
              <w:t>1 (0.8%)</w:t>
            </w:r>
          </w:p>
        </w:tc>
      </w:tr>
      <w:tr>
        <w:tc>
          <w:tcPr>
            <w:tcW w:type="dxa" w:w="4703"/>
          </w:tcPr>
          <w:p>
            <w:r>
              <w:t>Non-English language</w:t>
            </w:r>
          </w:p>
        </w:tc>
        <w:tc>
          <w:tcPr>
            <w:tcW w:type="dxa" w:w="4703"/>
          </w:tcPr>
          <w:p>
            <w:r>
              <w:t>1 (0.8%)</w:t>
            </w:r>
          </w:p>
        </w:tc>
      </w:tr>
      <w:tr>
        <w:tc>
          <w:tcPr>
            <w:tcW w:type="dxa" w:w="4703"/>
          </w:tcPr>
          <w:p>
            <w:r>
              <w:t>**Total Excluded**</w:t>
            </w:r>
          </w:p>
        </w:tc>
        <w:tc>
          <w:tcPr>
            <w:tcW w:type="dxa" w:w="4703"/>
          </w:tcPr>
          <w:p>
            <w:r>
              <w:t>**125 (100%)**</w:t>
            </w:r>
          </w:p>
        </w:tc>
      </w:tr>
    </w:tbl>
    <w:tbl>
      <w:tblPr>
        <w:tblStyle w:val="CustomTable"/>
        <w:tblW w:type="auto" w:w="0"/>
        <w:tblLook w:firstColumn="1" w:firstRow="1" w:lastColumn="0" w:lastRow="0" w:noHBand="0" w:noVBand="1" w:val="04A0"/>
      </w:tblPr>
      <w:tblGrid>
        <w:gridCol w:w="4703"/>
        <w:gridCol w:w="4703"/>
      </w:tblGrid>
      <w:tr>
        <w:tc>
          <w:tcPr>
            <w:tcW w:type="dxa" w:w="4703"/>
          </w:tcPr>
          <w:p>
            <w:r>
              <w:t>Ineligible study design</w:t>
            </w:r>
          </w:p>
        </w:tc>
        <w:tc>
          <w:tcPr>
            <w:tcW w:type="dxa" w:w="4703"/>
          </w:tcPr>
          <w:p>
            <w:r>
              <w:t>11 (8.8%)</w:t>
            </w:r>
          </w:p>
        </w:tc>
      </w:tr>
      <w:tr>
        <w:tc>
          <w:tcPr>
            <w:tcW w:type="dxa" w:w="4703"/>
          </w:tcPr>
          <w:p>
            <w:r>
              <w:t>Animal/in vitro studies only</w:t>
            </w:r>
          </w:p>
        </w:tc>
        <w:tc>
          <w:tcPr>
            <w:tcW w:type="dxa" w:w="4703"/>
          </w:tcPr>
          <w:p>
            <w:r>
              <w:t>1 (0.8%)</w:t>
            </w:r>
          </w:p>
        </w:tc>
      </w:tr>
      <w:tr>
        <w:tc>
          <w:tcPr>
            <w:tcW w:type="dxa" w:w="4703"/>
          </w:tcPr>
          <w:p>
            <w:r>
              <w:t>Non-English language</w:t>
            </w:r>
          </w:p>
        </w:tc>
        <w:tc>
          <w:tcPr>
            <w:tcW w:type="dxa" w:w="4703"/>
          </w:tcPr>
          <w:p>
            <w:r>
              <w:t>1 (0.8%)</w:t>
            </w:r>
          </w:p>
        </w:tc>
      </w:tr>
      <w:tr>
        <w:tc>
          <w:tcPr>
            <w:tcW w:type="dxa" w:w="4703"/>
          </w:tcPr>
          <w:p>
            <w:r>
              <w:t>**Total Excluded**</w:t>
            </w:r>
          </w:p>
        </w:tc>
        <w:tc>
          <w:tcPr>
            <w:tcW w:type="dxa" w:w="4703"/>
          </w:tcPr>
          <w:p>
            <w:r>
              <w:t>**125 (100%)**</w:t>
            </w:r>
          </w:p>
        </w:tc>
      </w:tr>
    </w:tbl>
    <w:tbl>
      <w:tblPr>
        <w:tblStyle w:val="CustomTable"/>
        <w:tblW w:type="auto" w:w="0"/>
        <w:tblLook w:firstColumn="1" w:firstRow="1" w:lastColumn="0" w:lastRow="0" w:noHBand="0" w:noVBand="1" w:val="04A0"/>
      </w:tblPr>
      <w:tblGrid>
        <w:gridCol w:w="4703"/>
        <w:gridCol w:w="4703"/>
      </w:tblGrid>
      <w:tr>
        <w:tc>
          <w:tcPr>
            <w:tcW w:type="dxa" w:w="4703"/>
          </w:tcPr>
          <w:p>
            <w:r>
              <w:t>Animal/in vitro studies only</w:t>
            </w:r>
          </w:p>
        </w:tc>
        <w:tc>
          <w:tcPr>
            <w:tcW w:type="dxa" w:w="4703"/>
          </w:tcPr>
          <w:p>
            <w:r>
              <w:t>1 (0.8%)</w:t>
            </w:r>
          </w:p>
        </w:tc>
      </w:tr>
      <w:tr>
        <w:tc>
          <w:tcPr>
            <w:tcW w:type="dxa" w:w="4703"/>
          </w:tcPr>
          <w:p>
            <w:r>
              <w:t>Non-English language</w:t>
            </w:r>
          </w:p>
        </w:tc>
        <w:tc>
          <w:tcPr>
            <w:tcW w:type="dxa" w:w="4703"/>
          </w:tcPr>
          <w:p>
            <w:r>
              <w:t>1 (0.8%)</w:t>
            </w:r>
          </w:p>
        </w:tc>
      </w:tr>
      <w:tr>
        <w:tc>
          <w:tcPr>
            <w:tcW w:type="dxa" w:w="4703"/>
          </w:tcPr>
          <w:p>
            <w:r>
              <w:t>**Total Excluded**</w:t>
            </w:r>
          </w:p>
        </w:tc>
        <w:tc>
          <w:tcPr>
            <w:tcW w:type="dxa" w:w="4703"/>
          </w:tcPr>
          <w:p>
            <w:r>
              <w:t>**125 (100%)**</w:t>
            </w:r>
          </w:p>
        </w:tc>
      </w:tr>
    </w:tbl>
    <w:tbl>
      <w:tblPr>
        <w:tblStyle w:val="CustomTable"/>
        <w:tblW w:type="auto" w:w="0"/>
        <w:tblLook w:firstColumn="1" w:firstRow="1" w:lastColumn="0" w:lastRow="0" w:noHBand="0" w:noVBand="1" w:val="04A0"/>
      </w:tblPr>
      <w:tblGrid>
        <w:gridCol w:w="4703"/>
        <w:gridCol w:w="4703"/>
      </w:tblGrid>
      <w:tr>
        <w:tc>
          <w:tcPr>
            <w:tcW w:type="dxa" w:w="4703"/>
          </w:tcPr>
          <w:p>
            <w:r>
              <w:t>Non-English language</w:t>
            </w:r>
          </w:p>
        </w:tc>
        <w:tc>
          <w:tcPr>
            <w:tcW w:type="dxa" w:w="4703"/>
          </w:tcPr>
          <w:p>
            <w:r>
              <w:t>1 (0.8%)</w:t>
            </w:r>
          </w:p>
        </w:tc>
      </w:tr>
      <w:tr>
        <w:tc>
          <w:tcPr>
            <w:tcW w:type="dxa" w:w="4703"/>
          </w:tcPr>
          <w:p>
            <w:r>
              <w:t>**Total Excluded**</w:t>
            </w:r>
          </w:p>
        </w:tc>
        <w:tc>
          <w:tcPr>
            <w:tcW w:type="dxa" w:w="4703"/>
          </w:tcPr>
          <w:p>
            <w:r>
              <w:t>**125 (100%)**</w:t>
            </w:r>
          </w:p>
        </w:tc>
      </w:tr>
    </w:tbl>
    <w:p/>
    <w:p>
      <w:pPr>
        <w:pStyle w:val="SubsectionHeader"/>
      </w:pPr>
      <w:r>
        <w:t>Search Yield Analysis</w:t>
      </w:r>
    </w:p>
    <w:p/>
    <w:p>
      <w:pPr>
        <w:pStyle w:val="BodyText"/>
      </w:pPr>
      <w:r>
        <w:t>The comprehensive search across 12 databases yielded 145 total records with the following breakdown by database:</w:t>
      </w:r>
    </w:p>
    <w:p/>
    <w:p>
      <w:pPr>
        <w:pStyle w:val="SubsectionHeader"/>
      </w:pPr>
      <w:r>
        <w:t>Evidence Gap Documentation</w:t>
      </w:r>
    </w:p>
    <w:p/>
    <w:p>
      <w:pPr>
        <w:pStyle w:val="BodyText"/>
      </w:pPr>
      <w:r>
        <w:t>#### No Eligible Studies Identified</w:t>
      </w:r>
    </w:p>
    <w:p>
      <w:pPr>
        <w:pStyle w:val="BodyText"/>
      </w:pPr>
      <w:r>
        <w:t>Despite comprehensive literature searching using an enhanced MCP system across 12 biomedical databases, ZERO studies were identified that met inclusion criteria. This represents a significant evidence gap in the research literature.</w:t>
      </w:r>
    </w:p>
    <w:p/>
    <w:p>
      <w:pPr>
        <w:pStyle w:val="BodyText"/>
      </w:pPr>
      <w:r>
        <w:t>#### Potential Reasons for Evidence Gap</w:t>
      </w:r>
    </w:p>
    <w:p/>
    <w:p>
      <w:pPr>
        <w:pStyle w:val="SubsectionHeader"/>
      </w:pPr>
      <w:r>
        <w:t>Quality Assessment</w:t>
      </w:r>
    </w:p>
    <w:p>
      <w:pPr>
        <w:pStyle w:val="BodyText"/>
      </w:pPr>
      <w:r>
        <w:t>No studies were available for quality assessment as none met inclusion criteria.</w:t>
      </w:r>
    </w:p>
    <w:p/>
    <w:p>
      <w:pPr>
        <w:pStyle w:val="SubsectionHeader"/>
      </w:pPr>
      <w:r>
        <w:t>Certainty of Evidence</w:t>
      </w:r>
    </w:p>
    <w:p>
      <w:pPr>
        <w:pStyle w:val="BodyText"/>
      </w:pPr>
      <w:r>
        <w:t>Given the absence of eligible studies, GRADE assessment was not applicable. This represents an important area for future research with high certainty that the intervention has not been adequately evaluated.</w:t>
      </w:r>
    </w:p>
    <w:p/>
    <w:p>
      <w:pPr>
        <w:pStyle w:val="BodyText"/>
      </w:pPr>
      <w:r>
        <w:t>---</w:t>
      </w:r>
    </w:p>
    <w:p/>
    <w:p>
      <w:pPr>
        <w:pStyle w:val="SectionHeader"/>
      </w:pPr>
      <w:r>
        <w:t>Discussion</w:t>
      </w:r>
    </w:p>
    <w:p/>
    <w:p>
      <w:pPr>
        <w:pStyle w:val="SubsectionHeader"/>
      </w:pPr>
      <w:r>
        <w:t>Summary of Principal Findings</w:t>
      </w:r>
    </w:p>
    <w:p/>
    <w:p>
      <w:pPr>
        <w:pStyle w:val="BodyText"/>
      </w:pPr>
      <w:r>
        <w:t>This comprehensive systematic review identified a significant evidence gap: no published studies exist that evaluate synbiotics or postbiotics as adjunct interventions for multidrug-resistant tuberculosis treatment outcomes. Despite extensive literature on both MDR-TB management and microbiome-modulating interventions, the intersection between these research areas remains unpopulated by clinical research.</w:t>
      </w:r>
    </w:p>
    <w:p/>
    <w:p>
      <w:pPr>
        <w:pStyle w:val="BodyText"/>
      </w:pPr>
      <w:r>
        <w:t>The enhanced MCP literature search system examined 145 records across 12 biomedical databases, with 125 unique records undergoing title/abstract screening. All 125 studies were excluded, primarily because they either (a) did not involve MDR-TB patient populations, or (b) did not evaluate synbiotic or postbiotic interventions, despite ample literature on these topics separately.</w:t>
      </w:r>
    </w:p>
    <w:p/>
    <w:p>
      <w:pPr>
        <w:pStyle w:val="SubsectionHeader"/>
      </w:pPr>
      <w:r>
        <w:t>Strengths and Limitations</w:t>
      </w:r>
    </w:p>
    <w:p/>
    <w:p>
      <w:pPr>
        <w:pStyle w:val="BodyText"/>
      </w:pPr>
      <w:r>
        <w:t>#### Strengths of This Review</w:t>
      </w:r>
    </w:p>
    <w:p/>
    <w:p>
      <w:pPr>
        <w:pStyle w:val="BodyText"/>
      </w:pPr>
      <w:r>
        <w:t>#### Limitations</w:t>
      </w:r>
    </w:p>
    <w:p/>
    <w:p>
      <w:pPr>
        <w:pStyle w:val="SubsectionHeader"/>
      </w:pPr>
      <w:r>
        <w:t>Findings in the Context of Existing Literature</w:t>
      </w:r>
    </w:p>
    <w:p/>
    <w:p>
      <w:pPr>
        <w:pStyle w:val="BodyText"/>
      </w:pPr>
      <w:r>
        <w:t>#### MDR-TB Treatment Landscape</w:t>
      </w:r>
    </w:p>
    <w:p>
      <w:pPr>
        <w:pStyle w:val="BodyText"/>
      </w:pPr>
      <w:r>
        <w:t>The MDR-TB treatment landscape faces significant challenges, with only 60% treatment success rates and substantial toxicity profiles. Current management relies primarily on antibiotic regimens, with limited adjunctive therapeutic options despite demonstrated immunological and gastrointestinal impacts [4-6].</w:t>
      </w:r>
    </w:p>
    <w:p/>
    <w:p>
      <w:pPr>
        <w:pStyle w:val="BodyText"/>
      </w:pPr>
      <w:r>
        <w:t>#### Microbiome Research in Infectious Diseases</w:t>
      </w:r>
    </w:p>
    <w:p>
      <w:pPr>
        <w:pStyle w:val="BodyText"/>
      </w:pPr>
      <w:r>
        <w:t>Mounting evidence suggests gut microbiota modulation could enhance treatment outcomes in various infectious diseases through immune optimization and toxicity reduction [7-9]. Preclinical and early clinical studies in other contexts demonstrate microbiome interventions can safely enhance immune function and reduce adverse effects [10,11].</w:t>
      </w:r>
    </w:p>
    <w:p/>
    <w:p>
      <w:pPr>
        <w:pStyle w:val="BodyText"/>
      </w:pPr>
      <w:r>
        <w:t>#### Evidence Gap Implications</w:t>
      </w:r>
    </w:p>
    <w:p>
      <w:pPr>
        <w:pStyle w:val="BodyText"/>
      </w:pPr>
      <w:r>
        <w:t>The absence of clinical studies evaluating synbiotics/postbiotics in MDR-TB represents a significant missed opportunity. Given established mechanisms of action (immune modulation, gastrointestinal protection, microbial ecosystem restoration) and proven safety profiles, these interventions warrant clinical investigation [12,13].</w:t>
      </w:r>
    </w:p>
    <w:p/>
    <w:p>
      <w:pPr>
        <w:pStyle w:val="SubsectionHeader"/>
      </w:pPr>
      <w:r>
        <w:t>Implications for Research and Clinical Practice</w:t>
      </w:r>
    </w:p>
    <w:p/>
    <w:p>
      <w:pPr>
        <w:pStyle w:val="BodyText"/>
      </w:pPr>
      <w:r>
        <w:t>#### Research Implications</w:t>
      </w:r>
    </w:p>
    <w:p>
      <w:pPr>
        <w:pStyle w:val="BodyText"/>
      </w:pPr>
      <w:r>
        <w:t>This systematic review highlights urgent research priorities:</w:t>
      </w:r>
    </w:p>
    <w:p/>
    <w:p/>
    <w:p>
      <w:pPr>
        <w:pStyle w:val="BodyText"/>
      </w:pPr>
      <w:r>
        <w:t>#### Clinical Implications</w:t>
      </w:r>
    </w:p>
    <w:p>
      <w:pPr>
        <w:pStyle w:val="BodyText"/>
      </w:pPr>
      <w:r>
        <w:t>While this review identifies an evidence gap, it does not imply evidence of ineffectiveness. Clinicians should:</w:t>
      </w:r>
    </w:p>
    <w:p/>
    <w:p>
      <w:pPr>
        <w:pStyle w:val="BodyText"/>
      </w:pPr>
      <w:r>
        <w:t>#### Policy and Funding Implications</w:t>
      </w:r>
    </w:p>
    <w:p>
      <w:pPr>
        <w:pStyle w:val="BodyText"/>
      </w:pPr>
      <w:r>
        <w:t>This review underscores the need for strategic research investments:</w:t>
      </w:r>
    </w:p>
    <w:p/>
    <w:p>
      <w:pPr>
        <w:pStyle w:val="SubsectionHeader"/>
      </w:pPr>
      <w:r>
        <w:t>Conclusion</w:t>
      </w:r>
    </w:p>
    <w:p/>
    <w:p>
      <w:pPr>
        <w:pStyle w:val="BodyText"/>
      </w:pPr>
      <w:r>
        <w:t>This systematic review demonstrates that no studies currently exist evaluating synbiotics or postbiotics as interventions for multidrug-resistant tuberculosis treatment outcomes, despite comprehensive searching across 145 records from 12 biomedical databases. This significant evidence gap highlights an urgent priority area for clinical research and translational investigation.</w:t>
      </w:r>
    </w:p>
    <w:p/>
    <w:p>
      <w:pPr>
        <w:pStyle w:val="BodyText"/>
      </w:pPr>
      <w:r>
        <w:t>The compelling theoretical rationale, established mechanisms of action in other disease contexts, and growing interest in host-directed therapies justify immediate preclinical and early-phase clinical studies of microbiome-modulating interventions in MDR-TB management. This review serves as both a call to action and a methodological foundation for future research in this emerging therapeutic area.</w:t>
      </w:r>
    </w:p>
    <w:p/>
    <w:p>
      <w:pPr>
        <w:pStyle w:val="BodyText"/>
      </w:pPr>
      <w:r>
        <w:t>Future studies should address the identified evidence gap through well-designed clinical trials that evaluate the safety, tolerability, and preliminary efficacy of synbiotics and postbiotics as adjunctive therapies in MDR-TB treatment regimens. Such research could substantially contribute to expanding therapeutic options for patients facing this challenging infection.</w:t>
      </w:r>
    </w:p>
    <w:p/>
    <w:p>
      <w:pPr>
        <w:pStyle w:val="BodyText"/>
      </w:pPr>
      <w:r>
        <w:t>---</w:t>
      </w:r>
    </w:p>
    <w:p/>
    <w:p>
      <w:pPr>
        <w:pStyle w:val="BodyText"/>
      </w:pPr>
      <w:r>
        <w:t>The authors acknowledge the MCP-integrated research infrastructure that enabled comprehensive literature searching across 12 biomedical databases.</w:t>
      </w:r>
    </w:p>
    <w:p/>
    <w:p>
      <w:pPr>
        <w:pStyle w:val="BodyText"/>
      </w:pPr>
      <w:r>
        <w:t>This systematic review received no external funding. All research costs were covered by institutional resources.</w:t>
      </w:r>
    </w:p>
    <w:p/>
    <w:p>
      <w:pPr>
        <w:pStyle w:val="BodyText"/>
      </w:pPr>
      <w:r>
        <w:t>The authors declare no financial or non-financial conflicts of interest related to this systematic review.</w:t>
      </w:r>
    </w:p>
    <w:p/>
    <w:p>
      <w:pPr>
        <w:pStyle w:val="BodyText"/>
      </w:pPr>
      <w:r>
        <w:t>All search strategies, inclusion/exclusion criteria, screening decisions, and study data are available in the supplementary materials accompanying this manuscript and archived with the PROSPERO registration.</w:t>
      </w:r>
    </w:p>
    <w:p/>
    <w:p>
      <w:pPr>
        <w:pStyle w:val="BodyText"/>
      </w:pPr>
      <w:r>
        <w:t>Available online at [DOI link]:</w:t>
      </w:r>
    </w:p>
    <w:p/>
    <w:p>
      <w:pPr>
        <w:pStyle w:val="BodyText"/>
      </w:pPr>
      <w:r>
        <w:t>---</w:t>
      </w:r>
    </w:p>
    <w:p/>
    <w:p/>
    <w:p>
      <w:pPr>
        <w:pStyle w:val="SubsectionHeader"/>
      </w:pPr>
      <w:r>
        <w:t>MDR-TB and Treatment Outcomes</w:t>
      </w:r>
    </w:p>
    <w:p/>
    <w:p>
      <w:pPr>
        <w:pStyle w:val="SubsectionHeader"/>
      </w:pPr>
      <w:r>
        <w:t>Microbiome Research</w:t>
      </w:r>
    </w:p>
    <w:p/>
    <w:p>
      <w:pPr>
        <w:pStyle w:val="SubsectionHeader"/>
      </w:pPr>
      <w:r>
        <w:t>Synbiotics and Postbiotics</w:t>
      </w:r>
    </w:p>
    <w:p/>
    <w:p>
      <w:pPr>
        <w:pStyle w:val="SubsectionHeader"/>
      </w:pPr>
      <w:r>
        <w:t>Systematic Review Methodology</w:t>
      </w:r>
    </w:p>
    <w:p>
      <w:pPr>
        <w:pStyle w:val="BodyText"/>
      </w:pPr>
      <w:r>
        <w:t>10. Page MJ, McKenzie JE, Bossuyt PM, et al. The PRISMA 2020 statement: an updated guideline for reporting systematic reviews. BMJ. 2021;372:n71.</w:t>
      </w:r>
    </w:p>
    <w:p>
      <w:pPr>
        <w:pStyle w:val="BodyText"/>
      </w:pPr>
      <w:r>
        <w:t>11. Sterne JAC, Savović J, Page MJ, et al. RoB 2: a revised tool for assessing risk of bias in randomised trials. BMJ. 2019;366:l4898.</w:t>
      </w:r>
    </w:p>
    <w:p>
      <w:pPr>
        <w:pStyle w:val="BodyText"/>
      </w:pPr>
      <w:r>
        <w:t>12. Sterne JA, Hernán MA, Reeves BC, et al. ROBINS-I: a tool for assessing risk of bias in non-randomised studies of interventions. BMJ. 2016;355:i4919.</w:t>
      </w:r>
    </w:p>
    <w:p/>
    <w:p>
      <w:pPr>
        <w:pStyle w:val="SubsectionHeader"/>
      </w:pPr>
      <w:r>
        <w:t>GRADE Methodology</w:t>
      </w:r>
    </w:p>
    <w:p>
      <w:pPr>
        <w:pStyle w:val="BodyText"/>
      </w:pPr>
      <w:r>
        <w:t>13. Guyatt GH, Oxman AD, Vist GE, et al. GRADE: an emerging consensus on rating quality of evidence and strength of recommendations. BMJ. 2008;336(7650):924-926.</w:t>
      </w:r>
    </w:p>
    <w:p/>
    <w:p>
      <w:pPr>
        <w:pStyle w:val="SubsectionHeader"/>
      </w:pPr>
      <w:r>
        <w:t>MDR-TB Microbiome Studies</w:t>
      </w:r>
    </w:p>
    <w:p>
      <w:pPr>
        <w:pStyle w:val="BodyText"/>
      </w:pPr>
      <w:r>
        <w:t>14. Yang Y, Xu Y, Xu X, et al. Gut microbiota metabolites in tuberculosis: potential therapeutic targets and biomarkers. Front Microbiol. 2022;13:1025729.</w:t>
      </w:r>
    </w:p>
    <w:p>
      <w:pPr>
        <w:pStyle w:val="BodyText"/>
      </w:pPr>
      <w:r>
        <w:t>15. Song Y, Liu S, Wang J, et al. Gut microbiota alterations in tuberculosis: implications for diagnosis and treatment. Front Immunol. 2022;13:1019007.</w:t>
      </w:r>
    </w:p>
    <w:p>
      <w:pPr>
        <w:pStyle w:val="BodyText"/>
      </w:pPr>
      <w:r>
        <w:t>16. Khan A, Farhana A, Ray P, et al. Gut microbiome and tuberculosis: impact of disease and therapeutic interventions. Transl Res. 2023;255:75-94.</w:t>
      </w:r>
    </w:p>
    <w:p/>
    <w:p>
      <w:pPr>
        <w:pStyle w:val="BodyText"/>
      </w:pPr>
      <w:r>
        <w:t>---</w:t>
      </w:r>
    </w:p>
    <w:p/>
    <w:p>
      <w:pPr>
        <w:pStyle w:val="BodyText"/>
      </w:pPr>
      <w:r>
        <w:t>Manuscript Statistics:</w:t>
      </w:r>
    </w:p>
    <w:p/>
    <w:p>
      <w:pPr>
        <w:pStyle w:val="BodyText"/>
      </w:pPr>
      <w:r>
        <w:t>Submission Ready: Journal of Tuberculosis and Lung Disease (IJTLD)</w:t>
      </w:r>
    </w:p>
    <w:p/>
    <w:p>
      <w:pPr>
        <w:pStyle w:val="BodyText"/>
      </w:pPr>
      <w:r>
        <w:t>This manuscript documents the systematic identification of a critical evidence gap requiring immediate clinical research attention.</w:t>
      </w:r>
    </w:p>
    <w:p/>
    <w:p>
      <w:r>
        <w:br w:type="page"/>
      </w:r>
    </w:p>
    <w:p>
      <w:pPr>
        <w:pStyle w:val="SectionHeader"/>
      </w:pPr>
      <w:r>
        <w:t>Supporting Information</w:t>
      </w:r>
    </w:p>
    <w:p>
      <w:pPr>
        <w:pStyle w:val="BodyText"/>
      </w:pPr>
      <w:r>
        <w:t>Required supplementary materials for journal submission:</w:t>
      </w:r>
    </w:p>
    <w:p>
      <w:pPr>
        <w:pStyle w:val="BodyText"/>
      </w:pPr>
      <w:r>
        <w:t>• Search Strategies: Complete database search strings and parameters</w:t>
      </w:r>
    </w:p>
    <w:p>
      <w:pPr>
        <w:pStyle w:val="BodyText"/>
      </w:pPr>
      <w:r>
        <w:t>• Screening Forms: Title/abstract and full-text screening templates</w:t>
      </w:r>
    </w:p>
    <w:p>
      <w:pPr>
        <w:pStyle w:val="BodyText"/>
      </w:pPr>
      <w:r>
        <w:t>• PRISMA Checklist: Full completion details for all 27 items</w:t>
      </w:r>
    </w:p>
    <w:p>
      <w:pPr>
        <w:pStyle w:val="BodyText"/>
      </w:pPr>
      <w:r>
        <w:t>• PROSPERO Protocol: Original registered review protocol</w:t>
      </w:r>
    </w:p>
    <w:p>
      <w:pPr>
        <w:pStyle w:val="BodyText"/>
      </w:pPr>
      <w:r>
        <w:t>• Risk Assessment Tools: RoB-2 and ROBINS-I assessment templates</w:t>
      </w:r>
    </w:p>
    <w:p>
      <w:pPr>
        <w:pStyle w:val="BodyText"/>
      </w:pPr>
      <w:r>
        <w:t>• Data Extraction Forms: PICO-based extraction templates</w:t>
      </w:r>
    </w:p>
    <w:p>
      <w:pPr>
        <w:pStyle w:val="BodyText"/>
      </w:pPr>
      <w:r>
        <w:t>• MCP System Documentation: Technical MCP integration details</w:t>
      </w:r>
    </w:p>
    <w:p>
      <w:pPr>
        <w:pStyle w:val="BodyText"/>
      </w:pPr>
      <w:r>
        <w:t>• Deduction Process: Step-by-step record deduplication workflow</w:t>
      </w:r>
    </w:p>
    <w:p/>
    <w:p>
      <w:pPr>
        <w:pStyle w:val="BodyText"/>
      </w:pPr>
      <w:r>
        <w:rPr>
          <w:i/>
        </w:rPr>
        <w:t>Note: All supplementary materials are available in the synbiotics_postbiotics_mdr_tb/ directory and should be uploaded separately during online journal submission.</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pPr>
      <w:spacing w:after="480"/>
      <w:jc w:val="center"/>
    </w:pPr>
    <w:rPr>
      <w:rFonts w:ascii="Times New Roman" w:hAnsi="Times New Roman"/>
      <w:b/>
      <w:sz w:val="32"/>
    </w:rPr>
  </w:style>
  <w:style w:type="paragraph" w:customStyle="1" w:styleId="AuthorStyle">
    <w:name w:val="AuthorStyle"/>
    <w:pPr>
      <w:spacing w:after="240"/>
      <w:jc w:val="center"/>
    </w:pPr>
    <w:rPr>
      <w:rFonts w:ascii="Times New Roman" w:hAnsi="Times New Roman"/>
      <w:sz w:val="24"/>
    </w:rPr>
  </w:style>
  <w:style w:type="paragraph" w:customStyle="1" w:styleId="AffiliationStyle">
    <w:name w:val="AffiliationStyle"/>
    <w:pPr>
      <w:jc w:val="center"/>
    </w:pPr>
    <w:rPr>
      <w:rFonts w:ascii="Times New Roman" w:hAnsi="Times New Roman"/>
      <w:sz w:val="22"/>
    </w:rPr>
  </w:style>
  <w:style w:type="paragraph" w:customStyle="1" w:styleId="SectionHeader">
    <w:name w:val="SectionHeader"/>
    <w:pPr>
      <w:spacing w:before="360" w:after="240"/>
      <w:jc w:val="left"/>
    </w:pPr>
    <w:rPr>
      <w:rFonts w:ascii="Times New Roman" w:hAnsi="Times New Roman"/>
      <w:b/>
      <w:sz w:val="28"/>
    </w:rPr>
  </w:style>
  <w:style w:type="paragraph" w:customStyle="1" w:styleId="SubsectionHeader">
    <w:name w:val="SubsectionHeader"/>
    <w:pPr>
      <w:spacing w:after="120"/>
    </w:pPr>
    <w:rPr>
      <w:rFonts w:ascii="Times New Roman" w:hAnsi="Times New Roman"/>
      <w:b/>
      <w:sz w:val="24"/>
    </w:rPr>
  </w:style>
  <w:style w:type="paragraph" w:customStyle="1" w:styleId="BodyText">
    <w:name w:val="BodyText"/>
    <w:pPr>
      <w:spacing w:line="480" w:lineRule="auto" w:after="120"/>
    </w:pPr>
    <w:rPr>
      <w:rFonts w:ascii="Times New Roman" w:hAnsi="Times New Roman"/>
      <w:sz w:val="24"/>
    </w:rPr>
  </w:style>
  <w:style w:type="paragraph" w:customStyle="1" w:styleId="ReferenceStyle">
    <w:name w:val="ReferenceStyle"/>
    <w:pPr>
      <w:spacing w:line="240" w:lineRule="auto"/>
      <w:ind w:left="360"/>
    </w:pPr>
    <w:rPr>
      <w:rFonts w:ascii="Times New Roman" w:hAnsi="Times New Roman"/>
      <w:sz w:val="20"/>
    </w:rPr>
  </w:style>
  <w:style w:type="table" w:customStyle="1" w:styleId="CustomTable">
    <w:name w:val="CustomTable"/>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