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a12b875ce598ecb3af5f1b4ce26fd17611978f"/>
    <w:p>
      <w:pPr>
        <w:pStyle w:val="Heading1"/>
      </w:pPr>
      <w:r>
        <w:t xml:space="preserve">Declarations for IJMR special article submission</w:t>
      </w:r>
    </w:p>
    <w:bookmarkStart w:id="9" w:name="Xad4c21cc653cc19fa281b7f2d37b6030518deb4"/>
    <w:p>
      <w:pPr>
        <w:pStyle w:val="Heading2"/>
      </w:pPr>
      <w:r>
        <w:t xml:space="preserve">Ethical approval and consent to participate</w:t>
      </w:r>
    </w:p>
    <w:p>
      <w:pPr>
        <w:pStyle w:val="FirstParagraph"/>
      </w:pPr>
      <w:r>
        <w:t xml:space="preserve">Not applicable. This manuscript is a structured narrative review and framework synthesis. No human participants were enrolled, and no primary patient-level dataset was collected or analyzed.</w:t>
      </w:r>
    </w:p>
    <w:bookmarkEnd w:id="9"/>
    <w:bookmarkStart w:id="1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10"/>
    <w:bookmarkStart w:id="11" w:name="availability-of-data-and-materials"/>
    <w:p>
      <w:pPr>
        <w:pStyle w:val="Heading2"/>
      </w:pPr>
      <w:r>
        <w:t xml:space="preserve">Availability of data and materials</w:t>
      </w:r>
    </w:p>
    <w:p>
      <w:pPr>
        <w:pStyle w:val="FirstParagraph"/>
      </w:pPr>
      <w:r>
        <w:t xml:space="preserve">No primary analytic dataset was generated for this manuscript. All cited policy documents, guidance sources, and published literature are publicly available through the referenced sources.</w:t>
      </w:r>
    </w:p>
    <w:bookmarkEnd w:id="11"/>
    <w:bookmarkStart w:id="1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work.</w:t>
      </w:r>
    </w:p>
    <w:bookmarkEnd w:id="12"/>
    <w:bookmarkStart w:id="13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originating conceptual lead for the SentinelCare and India Patient Safety Surveillance project frameworks described in this manuscript.</w:t>
      </w:r>
    </w:p>
    <w:bookmarkEnd w:id="13"/>
    <w:bookmarkStart w:id="1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The sole author conceived the manuscript, conducted the literature and policy synthesis, developed the framework, and wrote and revised the manuscript.</w:t>
      </w:r>
    </w:p>
    <w:bookmarkEnd w:id="14"/>
    <w:bookmarkStart w:id="15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AI-assisted tools were used for drafting support and language organization under direct author supervision. The author reviewed, corrected, and takes full responsibility for the final content.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2026-03-08T09:58:31Z</dcterms:created>
  <dcterms:modified xsi:type="dcterms:W3CDTF">2026-03-08T09:58:31Z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