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figures-and-legends"/>
    <w:p>
      <w:pPr>
        <w:pStyle w:val="Heading1"/>
      </w:pPr>
      <w:r>
        <w:t xml:space="preserve">Figures and legends</w:t>
      </w:r>
    </w:p>
    <w:bookmarkStart w:id="9" w:name="figure-1"/>
    <w:p>
      <w:pPr>
        <w:pStyle w:val="Heading2"/>
      </w:pPr>
      <w:r>
        <w:t xml:space="preserve">Figure 1</w:t>
      </w:r>
    </w:p>
    <w:p>
      <w:pPr>
        <w:pStyle w:val="FirstParagraph"/>
      </w:pPr>
      <w:r>
        <w:t xml:space="preserve">Federated operating model for patient safety surveillance in India.</w:t>
      </w:r>
    </w:p>
    <w:p>
      <w:pPr>
        <w:pStyle w:val="BodyText"/>
      </w:pPr>
      <w:r>
        <w:t xml:space="preserve">The surveillance model is organized across facility, state, and national layers. Daily operational surveillance and event-level learning cases originate at facility level. State surveillance cells perform aggregation, signal review, and escalation. National governance functions synthesize trends, policy implications, and benchmarking outputs.</w:t>
      </w:r>
      <w:r>
        <w:t xml:space="preserve"> </w:t>
      </w:r>
      <w:r>
        <w:t xml:space="preserve">Source file:</w:t>
      </w:r>
      <w:r>
        <w:t xml:space="preserve"> </w:t>
      </w:r>
      <w:r>
        <w:rPr>
          <w:rStyle w:val="VerbatimChar"/>
        </w:rPr>
        <w:t xml:space="preserve">figure1_federated_operating_model.svg</w:t>
      </w:r>
    </w:p>
    <w:bookmarkEnd w:id="9"/>
    <w:bookmarkStart w:id="10" w:name="figure-2"/>
    <w:p>
      <w:pPr>
        <w:pStyle w:val="Heading2"/>
      </w:pPr>
      <w:r>
        <w:t xml:space="preserve">Figure 2</w:t>
      </w:r>
    </w:p>
    <w:p>
      <w:pPr>
        <w:pStyle w:val="FirstParagraph"/>
      </w:pPr>
      <w:r>
        <w:t xml:space="preserve">Unified data and learning flow.</w:t>
      </w:r>
    </w:p>
    <w:p>
      <w:pPr>
        <w:pStyle w:val="BodyText"/>
      </w:pPr>
      <w:r>
        <w:t xml:space="preserve">Manual submissions, digital system events, and future machine-detected signals flow into a common safety intelligence layer. Triage, investigation, CAPA, analytics, AI assistance, and governance review operate on the normalized event stream, allowing both local action and system-level learning.</w:t>
      </w:r>
      <w:r>
        <w:t xml:space="preserve"> </w:t>
      </w:r>
      <w:r>
        <w:t xml:space="preserve">Source file:</w:t>
      </w:r>
      <w:r>
        <w:t xml:space="preserve"> </w:t>
      </w:r>
      <w:r>
        <w:rPr>
          <w:rStyle w:val="VerbatimChar"/>
        </w:rPr>
        <w:t xml:space="preserve">figure2_data_learning_flow.svg</w:t>
      </w:r>
    </w:p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2026-03-08T10:00:03Z</dcterms:created>
  <dcterms:modified xsi:type="dcterms:W3CDTF">2026-03-08T10:00:03Z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