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07731f2f26dc50e24906cb5a45dc49e049727e4"/>
    <w:p>
      <w:pPr>
        <w:pStyle w:val="Heading1"/>
      </w:pPr>
      <w:r>
        <w:t xml:space="preserve">Technical Architecture and Staged Implementation Protocol for an India Patient Safety Surveillance Platform</w:t>
      </w:r>
    </w:p>
    <w:bookmarkStart w:id="9" w:name="abstract"/>
    <w:p>
      <w:pPr>
        <w:pStyle w:val="Heading2"/>
      </w:pPr>
      <w:r>
        <w:t xml:space="preserve">Abstract</w:t>
      </w:r>
    </w:p>
    <w:p>
      <w:pPr>
        <w:pStyle w:val="FirstParagraph"/>
      </w:pPr>
      <w:r>
        <w:t xml:space="preserve">This manuscript presents the technical architecture and staged implementation protocol for a national patient safety surveillance platform designed for India. The architecture connects intake, normalization, case management, signal detection, governance, analytics, and interoperability in a federated deployment model. The implementation protocol prioritizes sentinel pilots, low-burden reporting, multi-format ingestion, explainable traceability, and phased integration with hospital systems and ABDM-aligned infrastructure.</w:t>
      </w:r>
    </w:p>
    <w:bookmarkEnd w:id="9"/>
    <w:bookmarkStart w:id="10" w:name="introduction"/>
    <w:p>
      <w:pPr>
        <w:pStyle w:val="Heading2"/>
      </w:pPr>
      <w:r>
        <w:t xml:space="preserve">Introduction</w:t>
      </w:r>
    </w:p>
    <w:p>
      <w:pPr>
        <w:pStyle w:val="FirstParagraph"/>
      </w:pPr>
      <w:r>
        <w:t xml:space="preserve">A national surveillance system for medical errors and patient safety cannot be built as a single monolithic application detached from real service delivery. It must function in facilities with limited digital maturity, integrate with larger institutions that already use HIS, EMR, LIS, and RIS systems, and support state and national review layers without breaking local accountability. This manuscript defines the technical architecture required to meet those conditions.</w:t>
      </w:r>
    </w:p>
    <w:bookmarkEnd w:id="10"/>
    <w:bookmarkStart w:id="17" w:name="architecture"/>
    <w:p>
      <w:pPr>
        <w:pStyle w:val="Heading2"/>
      </w:pPr>
      <w:r>
        <w:t xml:space="preserve">Architecture</w:t>
      </w:r>
    </w:p>
    <w:bookmarkStart w:id="11" w:name="intake-and-reporting"/>
    <w:p>
      <w:pPr>
        <w:pStyle w:val="Heading3"/>
      </w:pPr>
      <w:r>
        <w:t xml:space="preserve">Intake and reporting</w:t>
      </w:r>
    </w:p>
    <w:p>
      <w:pPr>
        <w:pStyle w:val="FirstParagraph"/>
      </w:pPr>
      <w:r>
        <w:t xml:space="preserve">The platform accepts five input modes:</w:t>
      </w:r>
    </w:p>
    <w:p>
      <w:pPr>
        <w:pStyle w:val="Compact"/>
        <w:numPr>
          <w:ilvl w:val="0"/>
          <w:numId w:val="1001"/>
        </w:numPr>
      </w:pPr>
      <w:r>
        <w:t xml:space="preserve">structured web reporting,</w:t>
      </w:r>
    </w:p>
    <w:p>
      <w:pPr>
        <w:pStyle w:val="Compact"/>
        <w:numPr>
          <w:ilvl w:val="0"/>
          <w:numId w:val="1001"/>
        </w:numPr>
      </w:pPr>
      <w:r>
        <w:t xml:space="preserve">facility quality office entry,</w:t>
      </w:r>
    </w:p>
    <w:p>
      <w:pPr>
        <w:pStyle w:val="Compact"/>
        <w:numPr>
          <w:ilvl w:val="0"/>
          <w:numId w:val="1001"/>
        </w:numPr>
      </w:pPr>
      <w:r>
        <w:t xml:space="preserve">spreadsheet or CSV upload,</w:t>
      </w:r>
    </w:p>
    <w:p>
      <w:pPr>
        <w:pStyle w:val="Compact"/>
        <w:numPr>
          <w:ilvl w:val="0"/>
          <w:numId w:val="1001"/>
        </w:numPr>
      </w:pPr>
      <w:r>
        <w:t xml:space="preserve">FHIR or HL7 interface,</w:t>
      </w:r>
    </w:p>
    <w:p>
      <w:pPr>
        <w:pStyle w:val="Compact"/>
        <w:numPr>
          <w:ilvl w:val="0"/>
          <w:numId w:val="1001"/>
        </w:numPr>
      </w:pPr>
      <w:r>
        <w:t xml:space="preserve">curated import from existing local systems.</w:t>
      </w:r>
    </w:p>
    <w:bookmarkEnd w:id="11"/>
    <w:bookmarkStart w:id="12" w:name="canonical-surveillance-schema"/>
    <w:p>
      <w:pPr>
        <w:pStyle w:val="Heading3"/>
      </w:pPr>
      <w:r>
        <w:t xml:space="preserve">Canonical surveillance schema</w:t>
      </w:r>
    </w:p>
    <w:p>
      <w:pPr>
        <w:pStyle w:val="FirstParagraph"/>
      </w:pPr>
      <w:r>
        <w:t xml:space="preserve">All incoming records are mapped to a canonical case schema with identifiers, facility metadata, domain, deviation class, severity, process stage, immediate action, and investigation state. This canonical model allows signal detection to remain consistent across source systems.</w:t>
      </w:r>
    </w:p>
    <w:bookmarkEnd w:id="12"/>
    <w:bookmarkStart w:id="13" w:name="case-management-engine"/>
    <w:p>
      <w:pPr>
        <w:pStyle w:val="Heading3"/>
      </w:pPr>
      <w:r>
        <w:t xml:space="preserve">Case management engine</w:t>
      </w:r>
    </w:p>
    <w:p>
      <w:pPr>
        <w:pStyle w:val="FirstParagraph"/>
      </w:pPr>
      <w:r>
        <w:t xml:space="preserve">The case management layer supports triage, ownership, investigation status, corrective action tracking, and closure. It is the operational core of the platform because surveillance without closure becomes a passive archive.</w:t>
      </w:r>
    </w:p>
    <w:bookmarkEnd w:id="13"/>
    <w:bookmarkStart w:id="14" w:name="signal-intelligence-engine"/>
    <w:p>
      <w:pPr>
        <w:pStyle w:val="Heading3"/>
      </w:pPr>
      <w:r>
        <w:t xml:space="preserve">Signal intelligence engine</w:t>
      </w:r>
    </w:p>
    <w:p>
      <w:pPr>
        <w:pStyle w:val="FirstParagraph"/>
      </w:pPr>
      <w:r>
        <w:t xml:space="preserve">The signal layer applies severity rules, recurrence detection, cluster logic, thematic grouping, and higher-tier escalation triggers. It must be explainable and auditable. Every signal therefore carries evidence summary, linked cases, accountable owner, and next action.</w:t>
      </w:r>
    </w:p>
    <w:bookmarkEnd w:id="14"/>
    <w:bookmarkStart w:id="15" w:name="governance-and-policy-registry"/>
    <w:p>
      <w:pPr>
        <w:pStyle w:val="Heading3"/>
      </w:pPr>
      <w:r>
        <w:t xml:space="preserve">Governance and policy registry</w:t>
      </w:r>
    </w:p>
    <w:p>
      <w:pPr>
        <w:pStyle w:val="FirstParagraph"/>
      </w:pPr>
      <w:r>
        <w:t xml:space="preserve">Rules and surveillance policies are versioned through lifecycle states. This registry governs what signal logic is active in pilot or production environments and supports review, rollback, and audit.</w:t>
      </w:r>
    </w:p>
    <w:bookmarkEnd w:id="15"/>
    <w:bookmarkStart w:id="16" w:name="analytics-and-publication-layer"/>
    <w:p>
      <w:pPr>
        <w:pStyle w:val="Heading3"/>
      </w:pPr>
      <w:r>
        <w:t xml:space="preserve">Analytics and publication layer</w:t>
      </w:r>
    </w:p>
    <w:p>
      <w:pPr>
        <w:pStyle w:val="FirstParagraph"/>
      </w:pPr>
      <w:r>
        <w:t xml:space="preserve">The analytics layer produces facility, district, state, and national dashboards; benchmarking summaries; thematic bulletins; and extractable publication datasets.</w:t>
      </w:r>
    </w:p>
    <w:bookmarkEnd w:id="16"/>
    <w:bookmarkEnd w:id="17"/>
    <w:bookmarkStart w:id="23" w:name="staged-implementation-protocol"/>
    <w:p>
      <w:pPr>
        <w:pStyle w:val="Heading2"/>
      </w:pPr>
      <w:r>
        <w:t xml:space="preserve">Staged implementation protocol</w:t>
      </w:r>
    </w:p>
    <w:bookmarkStart w:id="18" w:name="phase-0-design-and-readiness"/>
    <w:p>
      <w:pPr>
        <w:pStyle w:val="Heading3"/>
      </w:pPr>
      <w:r>
        <w:t xml:space="preserve">Phase 0: design and readiness</w:t>
      </w:r>
    </w:p>
    <w:p>
      <w:pPr>
        <w:pStyle w:val="Compact"/>
        <w:numPr>
          <w:ilvl w:val="0"/>
          <w:numId w:val="1002"/>
        </w:numPr>
      </w:pPr>
      <w:r>
        <w:t xml:space="preserve">finalize national minimum dataset,</w:t>
      </w:r>
    </w:p>
    <w:p>
      <w:pPr>
        <w:pStyle w:val="Compact"/>
        <w:numPr>
          <w:ilvl w:val="0"/>
          <w:numId w:val="1002"/>
        </w:numPr>
      </w:pPr>
      <w:r>
        <w:t xml:space="preserve">define taxonomy and severity rules,</w:t>
      </w:r>
    </w:p>
    <w:p>
      <w:pPr>
        <w:pStyle w:val="Compact"/>
        <w:numPr>
          <w:ilvl w:val="0"/>
          <w:numId w:val="1002"/>
        </w:numPr>
      </w:pPr>
      <w:r>
        <w:t xml:space="preserve">configure role model and governance approvals,</w:t>
      </w:r>
    </w:p>
    <w:p>
      <w:pPr>
        <w:pStyle w:val="Compact"/>
        <w:numPr>
          <w:ilvl w:val="0"/>
          <w:numId w:val="1002"/>
        </w:numPr>
      </w:pPr>
      <w:r>
        <w:t xml:space="preserve">identify sentinel pilot facilities and states.</w:t>
      </w:r>
    </w:p>
    <w:bookmarkEnd w:id="18"/>
    <w:bookmarkStart w:id="19" w:name="phase-1-sentinel-pilot"/>
    <w:p>
      <w:pPr>
        <w:pStyle w:val="Heading3"/>
      </w:pPr>
      <w:r>
        <w:t xml:space="preserve">Phase 1: sentinel pilot</w:t>
      </w:r>
    </w:p>
    <w:p>
      <w:pPr>
        <w:pStyle w:val="Compact"/>
        <w:numPr>
          <w:ilvl w:val="0"/>
          <w:numId w:val="1003"/>
        </w:numPr>
      </w:pPr>
      <w:r>
        <w:t xml:space="preserve">deploy manual and web-based reporting,</w:t>
      </w:r>
    </w:p>
    <w:p>
      <w:pPr>
        <w:pStyle w:val="Compact"/>
        <w:numPr>
          <w:ilvl w:val="0"/>
          <w:numId w:val="1003"/>
        </w:numPr>
      </w:pPr>
      <w:r>
        <w:t xml:space="preserve">train facility safety officers,</w:t>
      </w:r>
    </w:p>
    <w:p>
      <w:pPr>
        <w:pStyle w:val="Compact"/>
        <w:numPr>
          <w:ilvl w:val="0"/>
          <w:numId w:val="1003"/>
        </w:numPr>
      </w:pPr>
      <w:r>
        <w:t xml:space="preserve">test triage and investigation SOPs,</w:t>
      </w:r>
    </w:p>
    <w:p>
      <w:pPr>
        <w:pStyle w:val="Compact"/>
        <w:numPr>
          <w:ilvl w:val="0"/>
          <w:numId w:val="1003"/>
        </w:numPr>
      </w:pPr>
      <w:r>
        <w:t xml:space="preserve">run dashboards and review meetings,</w:t>
      </w:r>
    </w:p>
    <w:p>
      <w:pPr>
        <w:pStyle w:val="Compact"/>
        <w:numPr>
          <w:ilvl w:val="0"/>
          <w:numId w:val="1003"/>
        </w:numPr>
      </w:pPr>
      <w:r>
        <w:t xml:space="preserve">refine taxonomy and workflow burden.</w:t>
      </w:r>
    </w:p>
    <w:bookmarkEnd w:id="19"/>
    <w:bookmarkStart w:id="20" w:name="phase-2-state-intelligence-build-out"/>
    <w:p>
      <w:pPr>
        <w:pStyle w:val="Heading3"/>
      </w:pPr>
      <w:r>
        <w:t xml:space="preserve">Phase 2: state intelligence build-out</w:t>
      </w:r>
    </w:p>
    <w:p>
      <w:pPr>
        <w:pStyle w:val="Compact"/>
        <w:numPr>
          <w:ilvl w:val="0"/>
          <w:numId w:val="1004"/>
        </w:numPr>
      </w:pPr>
      <w:r>
        <w:t xml:space="preserve">operationalize state surveillance cells,</w:t>
      </w:r>
    </w:p>
    <w:p>
      <w:pPr>
        <w:pStyle w:val="Compact"/>
        <w:numPr>
          <w:ilvl w:val="0"/>
          <w:numId w:val="1004"/>
        </w:numPr>
      </w:pPr>
      <w:r>
        <w:t xml:space="preserve">introduce cluster detection and benchmarking,</w:t>
      </w:r>
    </w:p>
    <w:p>
      <w:pPr>
        <w:pStyle w:val="Compact"/>
        <w:numPr>
          <w:ilvl w:val="0"/>
          <w:numId w:val="1004"/>
        </w:numPr>
      </w:pPr>
      <w:r>
        <w:t xml:space="preserve">add CSV and batch imports,</w:t>
      </w:r>
    </w:p>
    <w:p>
      <w:pPr>
        <w:pStyle w:val="Compact"/>
        <w:numPr>
          <w:ilvl w:val="0"/>
          <w:numId w:val="1004"/>
        </w:numPr>
      </w:pPr>
      <w:r>
        <w:t xml:space="preserve">develop comparative reporting.</w:t>
      </w:r>
    </w:p>
    <w:bookmarkEnd w:id="20"/>
    <w:bookmarkStart w:id="21" w:name="phase-3-integration-expansion"/>
    <w:p>
      <w:pPr>
        <w:pStyle w:val="Heading3"/>
      </w:pPr>
      <w:r>
        <w:t xml:space="preserve">Phase 3: integration expansion</w:t>
      </w:r>
    </w:p>
    <w:p>
      <w:pPr>
        <w:pStyle w:val="Compact"/>
        <w:numPr>
          <w:ilvl w:val="0"/>
          <w:numId w:val="1005"/>
        </w:numPr>
      </w:pPr>
      <w:r>
        <w:t xml:space="preserve">integrate with HIS or EMR in high-capacity sites,</w:t>
      </w:r>
    </w:p>
    <w:p>
      <w:pPr>
        <w:pStyle w:val="Compact"/>
        <w:numPr>
          <w:ilvl w:val="0"/>
          <w:numId w:val="1005"/>
        </w:numPr>
      </w:pPr>
      <w:r>
        <w:t xml:space="preserve">connect LIS or RIS critical-result workflows,</w:t>
      </w:r>
    </w:p>
    <w:p>
      <w:pPr>
        <w:pStyle w:val="Compact"/>
        <w:numPr>
          <w:ilvl w:val="0"/>
          <w:numId w:val="1005"/>
        </w:numPr>
      </w:pPr>
      <w:r>
        <w:t xml:space="preserve">align facility identifiers with national registries,</w:t>
      </w:r>
    </w:p>
    <w:p>
      <w:pPr>
        <w:pStyle w:val="Compact"/>
        <w:numPr>
          <w:ilvl w:val="0"/>
          <w:numId w:val="1005"/>
        </w:numPr>
      </w:pPr>
      <w:r>
        <w:t xml:space="preserve">launch explainability and audit views.</w:t>
      </w:r>
    </w:p>
    <w:bookmarkEnd w:id="21"/>
    <w:bookmarkStart w:id="22" w:name="phase-4-national-scale-up"/>
    <w:p>
      <w:pPr>
        <w:pStyle w:val="Heading3"/>
      </w:pPr>
      <w:r>
        <w:t xml:space="preserve">Phase 4: national scale-up</w:t>
      </w:r>
    </w:p>
    <w:p>
      <w:pPr>
        <w:pStyle w:val="Compact"/>
        <w:numPr>
          <w:ilvl w:val="0"/>
          <w:numId w:val="1006"/>
        </w:numPr>
      </w:pPr>
      <w:r>
        <w:t xml:space="preserve">expand to broader state participation,</w:t>
      </w:r>
    </w:p>
    <w:p>
      <w:pPr>
        <w:pStyle w:val="Compact"/>
        <w:numPr>
          <w:ilvl w:val="0"/>
          <w:numId w:val="1006"/>
        </w:numPr>
      </w:pPr>
      <w:r>
        <w:t xml:space="preserve">issue thematic advisories,</w:t>
      </w:r>
    </w:p>
    <w:p>
      <w:pPr>
        <w:pStyle w:val="Compact"/>
        <w:numPr>
          <w:ilvl w:val="0"/>
          <w:numId w:val="1006"/>
        </w:numPr>
      </w:pPr>
      <w:r>
        <w:t xml:space="preserve">publish annual patient safety reports,</w:t>
      </w:r>
    </w:p>
    <w:p>
      <w:pPr>
        <w:pStyle w:val="Compact"/>
        <w:numPr>
          <w:ilvl w:val="0"/>
          <w:numId w:val="1006"/>
        </w:numPr>
      </w:pPr>
      <w:r>
        <w:t xml:space="preserve">create research and public-accountability outputs.</w:t>
      </w:r>
    </w:p>
    <w:bookmarkEnd w:id="22"/>
    <w:bookmarkEnd w:id="23"/>
    <w:bookmarkStart w:id="24" w:name="evaluation-metrics"/>
    <w:p>
      <w:pPr>
        <w:pStyle w:val="Heading2"/>
      </w:pPr>
      <w:r>
        <w:t xml:space="preserve">Evaluation metrics</w:t>
      </w:r>
    </w:p>
    <w:p>
      <w:pPr>
        <w:pStyle w:val="Compact"/>
        <w:numPr>
          <w:ilvl w:val="0"/>
          <w:numId w:val="1007"/>
        </w:numPr>
      </w:pPr>
      <w:r>
        <w:t xml:space="preserve">reporting completeness,</w:t>
      </w:r>
    </w:p>
    <w:p>
      <w:pPr>
        <w:pStyle w:val="Compact"/>
        <w:numPr>
          <w:ilvl w:val="0"/>
          <w:numId w:val="1007"/>
        </w:numPr>
      </w:pPr>
      <w:r>
        <w:t xml:space="preserve">triage timeliness,</w:t>
      </w:r>
    </w:p>
    <w:p>
      <w:pPr>
        <w:pStyle w:val="Compact"/>
        <w:numPr>
          <w:ilvl w:val="0"/>
          <w:numId w:val="1007"/>
        </w:numPr>
      </w:pPr>
      <w:r>
        <w:t xml:space="preserve">investigation completion,</w:t>
      </w:r>
    </w:p>
    <w:p>
      <w:pPr>
        <w:pStyle w:val="Compact"/>
        <w:numPr>
          <w:ilvl w:val="0"/>
          <w:numId w:val="1007"/>
        </w:numPr>
      </w:pPr>
      <w:r>
        <w:t xml:space="preserve">closure completion,</w:t>
      </w:r>
    </w:p>
    <w:p>
      <w:pPr>
        <w:pStyle w:val="Compact"/>
        <w:numPr>
          <w:ilvl w:val="0"/>
          <w:numId w:val="1007"/>
        </w:numPr>
      </w:pPr>
      <w:r>
        <w:t xml:space="preserve">signal yield,</w:t>
      </w:r>
    </w:p>
    <w:p>
      <w:pPr>
        <w:pStyle w:val="Compact"/>
        <w:numPr>
          <w:ilvl w:val="0"/>
          <w:numId w:val="1007"/>
        </w:numPr>
      </w:pPr>
      <w:r>
        <w:t xml:space="preserve">escalation latency,</w:t>
      </w:r>
    </w:p>
    <w:p>
      <w:pPr>
        <w:pStyle w:val="Compact"/>
        <w:numPr>
          <w:ilvl w:val="0"/>
          <w:numId w:val="1007"/>
        </w:numPr>
      </w:pPr>
      <w:r>
        <w:t xml:space="preserve">dashboard use and review compliance,</w:t>
      </w:r>
    </w:p>
    <w:p>
      <w:pPr>
        <w:pStyle w:val="Compact"/>
        <w:numPr>
          <w:ilvl w:val="0"/>
          <w:numId w:val="1007"/>
        </w:numPr>
      </w:pPr>
      <w:r>
        <w:t xml:space="preserve">recurrence reduction in targeted hazard clusters.</w:t>
      </w:r>
    </w:p>
    <w:bookmarkEnd w:id="24"/>
    <w:bookmarkStart w:id="25" w:name="discussion"/>
    <w:p>
      <w:pPr>
        <w:pStyle w:val="Heading2"/>
      </w:pPr>
      <w:r>
        <w:t xml:space="preserve">Discussion</w:t>
      </w:r>
    </w:p>
    <w:p>
      <w:pPr>
        <w:pStyle w:val="FirstParagraph"/>
      </w:pPr>
      <w:r>
        <w:t xml:space="preserve">The architecture is intentionally hybrid and transitional. It supports both advanced integration and low-resource workflows because scale in India will depend on coexistence of both. The protocol is therefore as important as the architecture itself.</w:t>
      </w:r>
    </w:p>
    <w:bookmarkEnd w:id="25"/>
    <w:bookmarkStart w:id="26" w:name="conclusion"/>
    <w:p>
      <w:pPr>
        <w:pStyle w:val="Heading2"/>
      </w:pPr>
      <w:r>
        <w:t xml:space="preserve">Conclusion</w:t>
      </w:r>
    </w:p>
    <w:p>
      <w:pPr>
        <w:pStyle w:val="FirstParagraph"/>
      </w:pPr>
      <w:r>
        <w:t xml:space="preserve">A national patient safety surveillance platform for India should be built through staged, federated implementation with a canonical surveillance schema, explainable signal logic, and strong governance from the outset.</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2026-03-07T18:36:56Z</dcterms:created>
  <dcterms:modified xsi:type="dcterms:W3CDTF">2026-03-07T18:36:56Z</dcterms:modified>
</cp:coreProperties>
</file>

<file path=docProps/custom.xml><?xml version="1.0" encoding="utf-8"?>
<Properties xmlns="http://schemas.openxmlformats.org/officeDocument/2006/custom-properties" xmlns:vt="http://schemas.openxmlformats.org/officeDocument/2006/docPropsVTypes"/>
</file>