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50dc8f1245001523abdd57f63750dc278f2f893"/>
    <w:p>
      <w:pPr>
        <w:pStyle w:val="Heading1"/>
      </w:pPr>
      <w:r>
        <w:t xml:space="preserve">Governance, Ethics, and Federated Learning Design for a National Patient Safety Surveillance System in India</w:t>
      </w:r>
    </w:p>
    <w:bookmarkStart w:id="9" w:name="core-argument"/>
    <w:p>
      <w:pPr>
        <w:pStyle w:val="Heading2"/>
      </w:pPr>
      <w:r>
        <w:t xml:space="preserve">Core argument</w:t>
      </w:r>
    </w:p>
    <w:p>
      <w:pPr>
        <w:pStyle w:val="FirstParagraph"/>
      </w:pPr>
      <w:r>
        <w:t xml:space="preserve">A national patient safety surveillance platform will fail if governance, privacy, and protected learning are treated as downstream policy issues instead of operating system requirements.</w:t>
      </w:r>
    </w:p>
    <w:bookmarkEnd w:id="9"/>
    <w:bookmarkStart w:id="10" w:name="governance-requirements"/>
    <w:p>
      <w:pPr>
        <w:pStyle w:val="Heading2"/>
      </w:pPr>
      <w:r>
        <w:t xml:space="preserve">Governance requirements</w:t>
      </w:r>
    </w:p>
    <w:p>
      <w:pPr>
        <w:pStyle w:val="Compact"/>
        <w:numPr>
          <w:ilvl w:val="0"/>
          <w:numId w:val="1001"/>
        </w:numPr>
      </w:pPr>
      <w:r>
        <w:t xml:space="preserve">protected reporting pathways,</w:t>
      </w:r>
    </w:p>
    <w:p>
      <w:pPr>
        <w:pStyle w:val="Compact"/>
        <w:numPr>
          <w:ilvl w:val="0"/>
          <w:numId w:val="1001"/>
        </w:numPr>
      </w:pPr>
      <w:r>
        <w:t xml:space="preserve">role-based review,</w:t>
      </w:r>
    </w:p>
    <w:p>
      <w:pPr>
        <w:pStyle w:val="Compact"/>
        <w:numPr>
          <w:ilvl w:val="0"/>
          <w:numId w:val="1001"/>
        </w:numPr>
      </w:pPr>
      <w:r>
        <w:t xml:space="preserve">clear separation of surveillance and punitive action,</w:t>
      </w:r>
    </w:p>
    <w:p>
      <w:pPr>
        <w:pStyle w:val="Compact"/>
        <w:numPr>
          <w:ilvl w:val="0"/>
          <w:numId w:val="1001"/>
        </w:numPr>
      </w:pPr>
      <w:r>
        <w:t xml:space="preserve">audit trails,</w:t>
      </w:r>
    </w:p>
    <w:p>
      <w:pPr>
        <w:pStyle w:val="Compact"/>
        <w:numPr>
          <w:ilvl w:val="0"/>
          <w:numId w:val="1001"/>
        </w:numPr>
      </w:pPr>
      <w:r>
        <w:t xml:space="preserve">state and national scientific oversight,</w:t>
      </w:r>
    </w:p>
    <w:p>
      <w:pPr>
        <w:pStyle w:val="Compact"/>
        <w:numPr>
          <w:ilvl w:val="0"/>
          <w:numId w:val="1001"/>
        </w:numPr>
      </w:pPr>
      <w:r>
        <w:t xml:space="preserve">publication governance and privacy review.</w:t>
      </w:r>
    </w:p>
    <w:bookmarkEnd w:id="10"/>
    <w:bookmarkStart w:id="11" w:name="ethics-stance"/>
    <w:p>
      <w:pPr>
        <w:pStyle w:val="Heading2"/>
      </w:pPr>
      <w:r>
        <w:t xml:space="preserve">Ethics stance</w:t>
      </w:r>
    </w:p>
    <w:p>
      <w:pPr>
        <w:pStyle w:val="FirstParagraph"/>
      </w:pPr>
      <w:r>
        <w:t xml:space="preserve">The system should prioritize patient protection, workforce learning, fairness across states and sectors, and prevention of misuse of de-identified or aggregated data.</w:t>
      </w:r>
    </w:p>
    <w:bookmarkEnd w:id="11"/>
    <w:bookmarkStart w:id="12" w:name="federated-learning-model"/>
    <w:p>
      <w:pPr>
        <w:pStyle w:val="Heading2"/>
      </w:pPr>
      <w:r>
        <w:t xml:space="preserve">Federated learning model</w:t>
      </w:r>
    </w:p>
    <w:p>
      <w:pPr>
        <w:pStyle w:val="FirstParagraph"/>
      </w:pPr>
      <w:r>
        <w:t xml:space="preserve">The learning model is federated in both data and governance terms: local cases remain locally actionable, while higher tiers aggregate signals, generate guidance, and steward taxonomy and policy.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2026-03-07T18:36:56Z</dcterms:created>
  <dcterms:modified xsi:type="dcterms:W3CDTF">2026-03-07T18:36:56Z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