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50dfca7ac8f2ec2fe76020328c1474811e81e4"/>
    <w:p>
      <w:pPr>
        <w:pStyle w:val="Heading1"/>
      </w:pPr>
      <w:r>
        <w:t xml:space="preserve">Patient Safety Reporting and Surveillance in India: Current Landscape, Gaps, and Design Implications for a National System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India has multiple quality, vigilance, surveillance, and digital-health initiatives, but these do not yet amount to a coherent national patient safety surveillance system. This narrative review examines the current landscape, identifies major gaps, and derives design implications for a future national patient safety intelligence architecture.</w:t>
      </w:r>
    </w:p>
    <w:bookmarkEnd w:id="9"/>
    <w:bookmarkStart w:id="10" w:name="current-landscape"/>
    <w:p>
      <w:pPr>
        <w:pStyle w:val="Heading2"/>
      </w:pPr>
      <w:r>
        <w:t xml:space="preserve">Current landscape</w:t>
      </w:r>
    </w:p>
    <w:p>
      <w:pPr>
        <w:pStyle w:val="FirstParagraph"/>
      </w:pPr>
      <w:r>
        <w:t xml:space="preserve">The present landscape includes hospital quality committees, accreditation-linked incident review, pharmacovigilance, hemovigilance, local root-cause analysis practices, selective digital incident systems in larger hospitals, and broader digital public-health infrastructure. These elements create partial capacity but not a unified surveillance chain.</w:t>
      </w:r>
    </w:p>
    <w:bookmarkEnd w:id="10"/>
    <w:bookmarkStart w:id="11" w:name="core-gaps"/>
    <w:p>
      <w:pPr>
        <w:pStyle w:val="Heading2"/>
      </w:pPr>
      <w:r>
        <w:t xml:space="preserve">Core gaps</w:t>
      </w:r>
    </w:p>
    <w:p>
      <w:pPr>
        <w:pStyle w:val="Compact"/>
        <w:numPr>
          <w:ilvl w:val="0"/>
          <w:numId w:val="1001"/>
        </w:numPr>
      </w:pPr>
      <w:r>
        <w:t xml:space="preserve">inconsistent event taxonomy,</w:t>
      </w:r>
    </w:p>
    <w:p>
      <w:pPr>
        <w:pStyle w:val="Compact"/>
        <w:numPr>
          <w:ilvl w:val="0"/>
          <w:numId w:val="1001"/>
        </w:numPr>
      </w:pPr>
      <w:r>
        <w:t xml:space="preserve">under-reporting and variable safety culture,</w:t>
      </w:r>
    </w:p>
    <w:p>
      <w:pPr>
        <w:pStyle w:val="Compact"/>
        <w:numPr>
          <w:ilvl w:val="0"/>
          <w:numId w:val="1001"/>
        </w:numPr>
      </w:pPr>
      <w:r>
        <w:t xml:space="preserve">weak cross-facility aggregation,</w:t>
      </w:r>
    </w:p>
    <w:p>
      <w:pPr>
        <w:pStyle w:val="Compact"/>
        <w:numPr>
          <w:ilvl w:val="0"/>
          <w:numId w:val="1001"/>
        </w:numPr>
      </w:pPr>
      <w:r>
        <w:t xml:space="preserve">limited state and national signal intelligence,</w:t>
      </w:r>
    </w:p>
    <w:p>
      <w:pPr>
        <w:pStyle w:val="Compact"/>
        <w:numPr>
          <w:ilvl w:val="0"/>
          <w:numId w:val="1001"/>
        </w:numPr>
      </w:pPr>
      <w:r>
        <w:t xml:space="preserve">low integration between reporting and corrective-action tracking,</w:t>
      </w:r>
    </w:p>
    <w:p>
      <w:pPr>
        <w:pStyle w:val="Compact"/>
        <w:numPr>
          <w:ilvl w:val="0"/>
          <w:numId w:val="1001"/>
        </w:numPr>
      </w:pPr>
      <w:r>
        <w:t xml:space="preserve">limited publication and benchmarking outputs.</w:t>
      </w:r>
    </w:p>
    <w:bookmarkEnd w:id="11"/>
    <w:bookmarkStart w:id="12" w:name="design-implications"/>
    <w:p>
      <w:pPr>
        <w:pStyle w:val="Heading2"/>
      </w:pPr>
      <w:r>
        <w:t xml:space="preserve">Design implications</w:t>
      </w:r>
    </w:p>
    <w:p>
      <w:pPr>
        <w:pStyle w:val="FirstParagraph"/>
      </w:pPr>
      <w:r>
        <w:t xml:space="preserve">A national system should be federated, non-punitive, integration-ready, and centered on a minimum dataset plus explainable signal workflows. It should not depend on a single software vendor or a single operational model.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2026-03-07T18:36:56Z</dcterms:created>
  <dcterms:modified xsi:type="dcterms:W3CDTF">2026-03-07T18:36:56Z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