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cb731ea2486854ed48b2dd204eb92c6515d87a"/>
    <w:p>
      <w:pPr>
        <w:pStyle w:val="Heading1"/>
      </w:pPr>
      <w:r>
        <w:t xml:space="preserve">Incidence, Patterns, and Preventability of Medical Errors and Adverse Events in India: A Systematic Review and Meta-analysis Protocol</w:t>
      </w:r>
    </w:p>
    <w:bookmarkStart w:id="9" w:name="registration-intention"/>
    <w:p>
      <w:pPr>
        <w:pStyle w:val="Heading2"/>
      </w:pPr>
      <w:r>
        <w:t xml:space="preserve">Registration intention</w:t>
      </w:r>
    </w:p>
    <w:p>
      <w:pPr>
        <w:pStyle w:val="FirstParagraph"/>
      </w:pPr>
      <w:r>
        <w:t xml:space="preserve">This protocol is intended for PROSPERO-compatible registration if the review question and methods remain within registration eligibility rules at the time of submission.</w:t>
      </w:r>
    </w:p>
    <w:bookmarkEnd w:id="9"/>
    <w:bookmarkStart w:id="10" w:name="review-objective"/>
    <w:p>
      <w:pPr>
        <w:pStyle w:val="Heading2"/>
      </w:pPr>
      <w:r>
        <w:t xml:space="preserve">Review objective</w:t>
      </w:r>
    </w:p>
    <w:p>
      <w:pPr>
        <w:pStyle w:val="FirstParagraph"/>
      </w:pPr>
      <w:r>
        <w:t xml:space="preserve">To estimate the incidence, distribution, severity, and preventability of medical errors and adverse events in Indian healthcare settings.</w:t>
      </w:r>
    </w:p>
    <w:bookmarkEnd w:id="10"/>
    <w:bookmarkStart w:id="14" w:name="eligibility-criteria"/>
    <w:p>
      <w:pPr>
        <w:pStyle w:val="Heading2"/>
      </w:pPr>
      <w:r>
        <w:t xml:space="preserve">Eligibility criteria</w:t>
      </w:r>
    </w:p>
    <w:bookmarkStart w:id="11" w:name="population-and-setting"/>
    <w:p>
      <w:pPr>
        <w:pStyle w:val="Heading3"/>
      </w:pPr>
      <w:r>
        <w:t xml:space="preserve">Population and setting</w:t>
      </w:r>
    </w:p>
    <w:p>
      <w:pPr>
        <w:pStyle w:val="FirstParagraph"/>
      </w:pPr>
      <w:r>
        <w:t xml:space="preserve">Patients receiving care in Indian healthcare settings including public and private hospitals, ICUs, emergency care, surgical care, ambulatory settings, maternal and newborn services, and specialty units.</w:t>
      </w:r>
    </w:p>
    <w:bookmarkEnd w:id="11"/>
    <w:bookmarkStart w:id="12" w:name="study-designs"/>
    <w:p>
      <w:pPr>
        <w:pStyle w:val="Heading3"/>
      </w:pPr>
      <w:r>
        <w:t xml:space="preserve">Study designs</w:t>
      </w:r>
    </w:p>
    <w:p>
      <w:pPr>
        <w:pStyle w:val="FirstParagraph"/>
      </w:pPr>
      <w:r>
        <w:t xml:space="preserve">Observational studies, surveillance studies, chart-review studies, trigger-tool studies, incident-report analyses, and prospective or retrospective patient safety studies.</w:t>
      </w:r>
    </w:p>
    <w:bookmarkEnd w:id="12"/>
    <w:bookmarkStart w:id="13" w:name="outcomes"/>
    <w:p>
      <w:pPr>
        <w:pStyle w:val="Heading3"/>
      </w:pPr>
      <w:r>
        <w:t xml:space="preserve">Outcomes</w:t>
      </w:r>
    </w:p>
    <w:p>
      <w:pPr>
        <w:pStyle w:val="Compact"/>
        <w:numPr>
          <w:ilvl w:val="0"/>
          <w:numId w:val="1001"/>
        </w:numPr>
      </w:pPr>
      <w:r>
        <w:t xml:space="preserve">adverse event incidence,</w:t>
      </w:r>
    </w:p>
    <w:p>
      <w:pPr>
        <w:pStyle w:val="Compact"/>
        <w:numPr>
          <w:ilvl w:val="0"/>
          <w:numId w:val="1001"/>
        </w:numPr>
      </w:pPr>
      <w:r>
        <w:t xml:space="preserve">preventable adverse event incidence,</w:t>
      </w:r>
    </w:p>
    <w:p>
      <w:pPr>
        <w:pStyle w:val="Compact"/>
        <w:numPr>
          <w:ilvl w:val="0"/>
          <w:numId w:val="1001"/>
        </w:numPr>
      </w:pPr>
      <w:r>
        <w:t xml:space="preserve">medication error frequency,</w:t>
      </w:r>
    </w:p>
    <w:p>
      <w:pPr>
        <w:pStyle w:val="Compact"/>
        <w:numPr>
          <w:ilvl w:val="0"/>
          <w:numId w:val="1001"/>
        </w:numPr>
      </w:pPr>
      <w:r>
        <w:t xml:space="preserve">diagnostic error or delay frequency,</w:t>
      </w:r>
    </w:p>
    <w:p>
      <w:pPr>
        <w:pStyle w:val="Compact"/>
        <w:numPr>
          <w:ilvl w:val="0"/>
          <w:numId w:val="1001"/>
        </w:numPr>
      </w:pPr>
      <w:r>
        <w:t xml:space="preserve">device, procedure, healthcare-associated, or transition-related patient safety event rates,</w:t>
      </w:r>
    </w:p>
    <w:p>
      <w:pPr>
        <w:pStyle w:val="Compact"/>
        <w:numPr>
          <w:ilvl w:val="0"/>
          <w:numId w:val="1001"/>
        </w:numPr>
      </w:pPr>
      <w:r>
        <w:t xml:space="preserve">severity and preventability classifications.</w:t>
      </w:r>
    </w:p>
    <w:bookmarkEnd w:id="13"/>
    <w:bookmarkEnd w:id="14"/>
    <w:bookmarkStart w:id="15" w:name="search-strategy"/>
    <w:p>
      <w:pPr>
        <w:pStyle w:val="Heading2"/>
      </w:pPr>
      <w:r>
        <w:t xml:space="preserve">Search strategy</w:t>
      </w:r>
    </w:p>
    <w:p>
      <w:pPr>
        <w:pStyle w:val="FirstParagraph"/>
      </w:pPr>
      <w:r>
        <w:t xml:space="preserve">Databases:</w:t>
      </w:r>
    </w:p>
    <w:p>
      <w:pPr>
        <w:pStyle w:val="Compact"/>
        <w:numPr>
          <w:ilvl w:val="0"/>
          <w:numId w:val="1002"/>
        </w:numPr>
      </w:pPr>
      <w:r>
        <w:t xml:space="preserve">PubMed,</w:t>
      </w:r>
    </w:p>
    <w:p>
      <w:pPr>
        <w:pStyle w:val="Compact"/>
        <w:numPr>
          <w:ilvl w:val="0"/>
          <w:numId w:val="1002"/>
        </w:numPr>
      </w:pPr>
      <w:r>
        <w:t xml:space="preserve">Embase,</w:t>
      </w:r>
    </w:p>
    <w:p>
      <w:pPr>
        <w:pStyle w:val="Compact"/>
        <w:numPr>
          <w:ilvl w:val="0"/>
          <w:numId w:val="1002"/>
        </w:numPr>
      </w:pPr>
      <w:r>
        <w:t xml:space="preserve">Scopus,</w:t>
      </w:r>
    </w:p>
    <w:p>
      <w:pPr>
        <w:pStyle w:val="Compact"/>
        <w:numPr>
          <w:ilvl w:val="0"/>
          <w:numId w:val="1002"/>
        </w:numPr>
      </w:pPr>
      <w:r>
        <w:t xml:space="preserve">IndMED,</w:t>
      </w:r>
    </w:p>
    <w:p>
      <w:pPr>
        <w:pStyle w:val="Compact"/>
        <w:numPr>
          <w:ilvl w:val="0"/>
          <w:numId w:val="1002"/>
        </w:numPr>
      </w:pPr>
      <w:r>
        <w:t xml:space="preserve">Web of Science,</w:t>
      </w:r>
    </w:p>
    <w:p>
      <w:pPr>
        <w:pStyle w:val="Compact"/>
        <w:numPr>
          <w:ilvl w:val="0"/>
          <w:numId w:val="1002"/>
        </w:numPr>
      </w:pPr>
      <w:r>
        <w:t xml:space="preserve">Google Scholar for supplementary searches.</w:t>
      </w:r>
    </w:p>
    <w:p>
      <w:pPr>
        <w:pStyle w:val="FirstParagraph"/>
      </w:pPr>
      <w:r>
        <w:t xml:space="preserve">Core search blocks:</w:t>
      </w:r>
    </w:p>
    <w:p>
      <w:pPr>
        <w:pStyle w:val="Compact"/>
        <w:numPr>
          <w:ilvl w:val="0"/>
          <w:numId w:val="1003"/>
        </w:numPr>
      </w:pPr>
      <w:r>
        <w:t xml:space="preserve">India,</w:t>
      </w:r>
    </w:p>
    <w:p>
      <w:pPr>
        <w:pStyle w:val="Compact"/>
        <w:numPr>
          <w:ilvl w:val="0"/>
          <w:numId w:val="1003"/>
        </w:numPr>
      </w:pPr>
      <w:r>
        <w:t xml:space="preserve">patient safety or adverse events or medical errors,</w:t>
      </w:r>
    </w:p>
    <w:p>
      <w:pPr>
        <w:pStyle w:val="Compact"/>
        <w:numPr>
          <w:ilvl w:val="0"/>
          <w:numId w:val="1003"/>
        </w:numPr>
      </w:pPr>
      <w:r>
        <w:t xml:space="preserve">medication errors or diagnostic errors or hospital-acquired harm or incident reporting,</w:t>
      </w:r>
    </w:p>
    <w:p>
      <w:pPr>
        <w:pStyle w:val="Compact"/>
        <w:numPr>
          <w:ilvl w:val="0"/>
          <w:numId w:val="1003"/>
        </w:numPr>
      </w:pPr>
      <w:r>
        <w:t xml:space="preserve">incidence or prevalence or surveillance or epidemiology.</w:t>
      </w:r>
    </w:p>
    <w:bookmarkEnd w:id="15"/>
    <w:bookmarkStart w:id="16" w:name="study-selection-and-extraction"/>
    <w:p>
      <w:pPr>
        <w:pStyle w:val="Heading2"/>
      </w:pPr>
      <w:r>
        <w:t xml:space="preserve">Study selection and extraction</w:t>
      </w:r>
    </w:p>
    <w:p>
      <w:pPr>
        <w:pStyle w:val="FirstParagraph"/>
      </w:pPr>
      <w:r>
        <w:t xml:space="preserve">Two independent reviewers will screen titles and abstracts, review full texts, and extract data using a standardized form. Disagreements will be resolved by consensus or third-reviewer adjudication.</w:t>
      </w:r>
    </w:p>
    <w:bookmarkEnd w:id="16"/>
    <w:bookmarkStart w:id="17" w:name="risk-of-bias-and-synthesis"/>
    <w:p>
      <w:pPr>
        <w:pStyle w:val="Heading2"/>
      </w:pPr>
      <w:r>
        <w:t xml:space="preserve">Risk of bias and synthesis</w:t>
      </w:r>
    </w:p>
    <w:p>
      <w:pPr>
        <w:pStyle w:val="FirstParagraph"/>
      </w:pPr>
      <w:r>
        <w:t xml:space="preserve">Study quality will be assessed using design-appropriate tools. Random-effects meta-analysis will be conducted where outcome definitions and denominators are sufficiently comparable. Otherwise, structured narrative synthesis will be used.</w:t>
      </w:r>
    </w:p>
    <w:bookmarkEnd w:id="17"/>
    <w:bookmarkStart w:id="18" w:name="reporting"/>
    <w:p>
      <w:pPr>
        <w:pStyle w:val="Heading2"/>
      </w:pPr>
      <w:r>
        <w:t xml:space="preserve">Reporting</w:t>
      </w:r>
    </w:p>
    <w:p>
      <w:pPr>
        <w:pStyle w:val="FirstParagraph"/>
      </w:pPr>
      <w:r>
        <w:t xml:space="preserve">The review will follow PRISMA 2020 and relevant methodological guidance for prevalence and incidence syntheses.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2026-03-07T18:36:56Z</dcterms:created>
  <dcterms:modified xsi:type="dcterms:W3CDTF">2026-03-07T18:36:56Z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