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To</w:t>
      </w:r>
      <w:r>
        <w:br/>
      </w:r>
      <w:r>
        <w:t xml:space="preserve">The Editor</w:t>
      </w:r>
      <w:r>
        <w:br/>
      </w:r>
      <w:r>
        <w:t xml:space="preserve">Indian Journal of Medical Research</w:t>
      </w:r>
    </w:p>
    <w:p>
      <w:pPr>
        <w:pStyle w:val="BodyText"/>
      </w:pPr>
      <w:r>
        <w:t xml:space="preserve">Subject: Submission of Special Article titled</w:t>
      </w:r>
      <w:r>
        <w:t xml:space="preserve"> </w:t>
      </w:r>
      <w:r>
        <w:rPr>
          <w:rStyle w:val="VerbatimChar"/>
        </w:rPr>
        <w:t xml:space="preserve">Governance, accountability, and bounded AI in patient safety surveillance: an implementation framework for India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our manuscript for publication as a Special Article in the Indian Journal of Medical Research. The paper synthesizes governance, accountability, audit, and AI-safety requirements for patient safety surveillance systems and interprets their relevance for India.</w:t>
      </w:r>
    </w:p>
    <w:p>
      <w:pPr>
        <w:pStyle w:val="BodyText"/>
      </w:pPr>
      <w:r>
        <w:t xml:space="preserve">The manuscript fits IJMR because it addresses public health, digital health governance, health-system implementation, and patient safety. It is framed as a policy- and systems-oriented special article and does not overstate implementation effectiveness where prospective evaluation remains pending.</w:t>
      </w:r>
    </w:p>
    <w:p>
      <w:pPr>
        <w:pStyle w:val="BodyText"/>
      </w:pPr>
      <w:r>
        <w:t xml:space="preserve">This manuscript is original, is not under consideration elsewhere, and has been prepared for IJMR-aligned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2026-03-08T00:07:31Z</dcterms:created>
  <dcterms:modified xsi:type="dcterms:W3CDTF">2026-03-08T00:07:31Z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