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jmr-reference-style-verification-note"/>
    <w:p>
      <w:pPr>
        <w:pStyle w:val="Heading1"/>
      </w:pPr>
      <w:r>
        <w:t xml:space="preserve">IJMR reference-style verification note</w:t>
      </w:r>
    </w:p>
    <w:bookmarkStart w:id="9" w:name="verification-basis"/>
    <w:p>
      <w:pPr>
        <w:pStyle w:val="Heading2"/>
      </w:pPr>
      <w:r>
        <w:t xml:space="preserve">Verification basis</w:t>
      </w:r>
    </w:p>
    <w:p>
      <w:pPr>
        <w:pStyle w:val="FirstParagraph"/>
      </w:pPr>
      <w:r>
        <w:t xml:space="preserve">Reference and submission formatting were checked against:</w:t>
      </w:r>
    </w:p>
    <w:p>
      <w:pPr>
        <w:pStyle w:val="Compact"/>
        <w:numPr>
          <w:ilvl w:val="0"/>
          <w:numId w:val="1001"/>
        </w:numPr>
      </w:pPr>
      <w:r>
        <w:t xml:space="preserve">IJMR author guidance page</w:t>
      </w:r>
    </w:p>
    <w:p>
      <w:pPr>
        <w:pStyle w:val="Compact"/>
        <w:numPr>
          <w:ilvl w:val="0"/>
          <w:numId w:val="1001"/>
        </w:numPr>
      </w:pPr>
      <w:r>
        <w:t xml:space="preserve">IJMR author instructions PDF</w:t>
      </w:r>
    </w:p>
    <w:p>
      <w:pPr>
        <w:pStyle w:val="Compact"/>
        <w:numPr>
          <w:ilvl w:val="0"/>
          <w:numId w:val="1001"/>
        </w:numPr>
      </w:pPr>
      <w:r>
        <w:t xml:space="preserve">recent IJMR article pages used as live style examples</w:t>
      </w:r>
    </w:p>
    <w:bookmarkEnd w:id="9"/>
    <w:bookmarkStart w:id="10" w:name="Xdb4a6513162b6391cdc2f004e341b310ad19240"/>
    <w:p>
      <w:pPr>
        <w:pStyle w:val="Heading2"/>
      </w:pPr>
      <w:r>
        <w:t xml:space="preserve">Normalization decisions applied in this repository</w:t>
      </w:r>
    </w:p>
    <w:p>
      <w:pPr>
        <w:pStyle w:val="Compact"/>
        <w:numPr>
          <w:ilvl w:val="0"/>
          <w:numId w:val="1002"/>
        </w:numPr>
      </w:pPr>
      <w:r>
        <w:t xml:space="preserve">numbered citation system retained throughout IJMR-targeted manuscripts</w:t>
      </w:r>
    </w:p>
    <w:p>
      <w:pPr>
        <w:pStyle w:val="Compact"/>
        <w:numPr>
          <w:ilvl w:val="0"/>
          <w:numId w:val="1002"/>
        </w:numPr>
      </w:pPr>
      <w:r>
        <w:t xml:space="preserve">in-text citations normalized toward IJMR-style numbered superscript usage in the markdown source</w:t>
      </w:r>
    </w:p>
    <w:p>
      <w:pPr>
        <w:pStyle w:val="Compact"/>
        <w:numPr>
          <w:ilvl w:val="0"/>
          <w:numId w:val="1002"/>
        </w:numPr>
      </w:pPr>
      <w:r>
        <w:t xml:space="preserve">reference lists kept in Vancouver-style order of appearance</w:t>
      </w:r>
    </w:p>
    <w:p>
      <w:pPr>
        <w:pStyle w:val="Compact"/>
        <w:numPr>
          <w:ilvl w:val="0"/>
          <w:numId w:val="1002"/>
        </w:numPr>
      </w:pPr>
      <w:r>
        <w:t xml:space="preserve">journal titles retained in abbreviated biomedical style where applicable</w:t>
      </w:r>
    </w:p>
    <w:p>
      <w:pPr>
        <w:pStyle w:val="Compact"/>
        <w:numPr>
          <w:ilvl w:val="0"/>
          <w:numId w:val="1002"/>
        </w:numPr>
      </w:pPr>
      <w:r>
        <w:t xml:space="preserve">author lists kept in standard indexed format with</w:t>
      </w:r>
      <w:r>
        <w:t xml:space="preserve"> </w:t>
      </w:r>
      <w:r>
        <w:rPr>
          <w:rStyle w:val="VerbatimChar"/>
        </w:rPr>
        <w:t xml:space="preserve">et al.</w:t>
      </w:r>
      <w:r>
        <w:t xml:space="preserve"> </w:t>
      </w:r>
      <w:r>
        <w:t xml:space="preserve">for longer multi-author citations</w:t>
      </w:r>
    </w:p>
    <w:bookmarkEnd w:id="10"/>
    <w:bookmarkStart w:id="11" w:name="Xe5f8f19dcfed5307ef821c8552dffc72174e357"/>
    <w:p>
      <w:pPr>
        <w:pStyle w:val="Heading2"/>
      </w:pPr>
      <w:r>
        <w:t xml:space="preserve">Final manual checks still recommended at submission stage</w:t>
      </w:r>
    </w:p>
    <w:p>
      <w:pPr>
        <w:pStyle w:val="Compact"/>
        <w:numPr>
          <w:ilvl w:val="0"/>
          <w:numId w:val="1003"/>
        </w:numPr>
      </w:pPr>
      <w:r>
        <w:t xml:space="preserve">compare punctuation and author-separator details with the latest published IJMR examples in Word</w:t>
      </w:r>
    </w:p>
    <w:p>
      <w:pPr>
        <w:pStyle w:val="Compact"/>
        <w:numPr>
          <w:ilvl w:val="0"/>
          <w:numId w:val="1003"/>
        </w:numPr>
      </w:pPr>
      <w:r>
        <w:t xml:space="preserve">verify whether the final uploaded manuscript should keep superscripts or whether the production office will normalize them automatically</w:t>
      </w:r>
    </w:p>
    <w:p>
      <w:pPr>
        <w:pStyle w:val="Compact"/>
        <w:numPr>
          <w:ilvl w:val="0"/>
          <w:numId w:val="1003"/>
        </w:numPr>
      </w:pPr>
      <w:r>
        <w:t xml:space="preserve">verify web-source formatting for government and WHO documents during the final editorial pass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2026-03-08T00:07:31Z</dcterms:created>
  <dcterms:modified xsi:type="dcterms:W3CDTF">2026-03-08T00:07:31Z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