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ijmr-submission-notes"/>
    <w:p>
      <w:pPr>
        <w:pStyle w:val="Heading1"/>
      </w:pPr>
      <w:r>
        <w:t xml:space="preserve">IJMR submission notes</w:t>
      </w:r>
    </w:p>
    <w:bookmarkStart w:id="9" w:name="intended-category"/>
    <w:p>
      <w:pPr>
        <w:pStyle w:val="Heading2"/>
      </w:pPr>
      <w:r>
        <w:t xml:space="preserve">Intended category</w:t>
      </w:r>
    </w:p>
    <w:p>
      <w:pPr>
        <w:pStyle w:val="FirstParagraph"/>
      </w:pPr>
      <w:r>
        <w:t xml:space="preserve">Special Article</w:t>
      </w:r>
    </w:p>
    <w:bookmarkEnd w:id="9"/>
    <w:bookmarkStart w:id="10" w:name="why-this-category-fits"/>
    <w:p>
      <w:pPr>
        <w:pStyle w:val="Heading2"/>
      </w:pPr>
      <w:r>
        <w:t xml:space="preserve">Why this category fits</w:t>
      </w:r>
    </w:p>
    <w:p>
      <w:pPr>
        <w:pStyle w:val="Compact"/>
        <w:numPr>
          <w:ilvl w:val="0"/>
          <w:numId w:val="1001"/>
        </w:numPr>
      </w:pPr>
      <w:r>
        <w:t xml:space="preserve">IJMR includes</w:t>
      </w:r>
      <w:r>
        <w:t xml:space="preserve"> </w:t>
      </w:r>
      <w:r>
        <w:rPr>
          <w:rStyle w:val="VerbatimChar"/>
        </w:rPr>
        <w:t xml:space="preserve">Digital Health</w:t>
      </w:r>
      <w:r>
        <w:t xml:space="preserve"> </w:t>
      </w:r>
      <w:r>
        <w:t xml:space="preserve">and related topics under</w:t>
      </w:r>
      <w:r>
        <w:t xml:space="preserve"> </w:t>
      </w:r>
      <w:r>
        <w:rPr>
          <w:rStyle w:val="VerbatimChar"/>
        </w:rPr>
        <w:t xml:space="preserve">Special Articles</w:t>
      </w:r>
    </w:p>
    <w:p>
      <w:pPr>
        <w:pStyle w:val="Compact"/>
        <w:numPr>
          <w:ilvl w:val="0"/>
          <w:numId w:val="1001"/>
        </w:numPr>
      </w:pPr>
      <w:r>
        <w:t xml:space="preserve">IJMR states that review article instructions apply to special articles</w:t>
      </w:r>
    </w:p>
    <w:p>
      <w:pPr>
        <w:pStyle w:val="Compact"/>
        <w:numPr>
          <w:ilvl w:val="0"/>
          <w:numId w:val="1001"/>
        </w:numPr>
      </w:pPr>
      <w:r>
        <w:t xml:space="preserve">this manuscript is a framework-and-review paper, not an original empirical study</w:t>
      </w:r>
    </w:p>
    <w:bookmarkEnd w:id="10"/>
    <w:bookmarkStart w:id="11" w:name="Xd292111762189140af21e406bf8b0cccfe0b46d"/>
    <w:p>
      <w:pPr>
        <w:pStyle w:val="Heading2"/>
      </w:pPr>
      <w:r>
        <w:t xml:space="preserve">Formatting points to apply before final upload</w:t>
      </w:r>
    </w:p>
    <w:p>
      <w:pPr>
        <w:pStyle w:val="Compact"/>
        <w:numPr>
          <w:ilvl w:val="0"/>
          <w:numId w:val="1002"/>
        </w:numPr>
      </w:pPr>
      <w:r>
        <w:t xml:space="preserve">convert to</w:t>
      </w:r>
      <w:r>
        <w:t xml:space="preserve"> </w:t>
      </w:r>
      <w:r>
        <w:rPr>
          <w:rStyle w:val="VerbatimChar"/>
        </w:rPr>
        <w:t xml:space="preserve">.docx</w:t>
      </w:r>
    </w:p>
    <w:p>
      <w:pPr>
        <w:pStyle w:val="Compact"/>
        <w:numPr>
          <w:ilvl w:val="0"/>
          <w:numId w:val="1002"/>
        </w:numPr>
      </w:pPr>
      <w:r>
        <w:t xml:space="preserve">British English</w:t>
      </w:r>
    </w:p>
    <w:p>
      <w:pPr>
        <w:pStyle w:val="Compact"/>
        <w:numPr>
          <w:ilvl w:val="0"/>
          <w:numId w:val="1002"/>
        </w:numPr>
      </w:pPr>
      <w:r>
        <w:t xml:space="preserve">12-point Times New Roman</w:t>
      </w:r>
    </w:p>
    <w:p>
      <w:pPr>
        <w:pStyle w:val="Compact"/>
        <w:numPr>
          <w:ilvl w:val="0"/>
          <w:numId w:val="1002"/>
        </w:numPr>
      </w:pPr>
      <w:r>
        <w:t xml:space="preserve">1.5 line spacing</w:t>
      </w:r>
    </w:p>
    <w:p>
      <w:pPr>
        <w:pStyle w:val="Compact"/>
        <w:numPr>
          <w:ilvl w:val="0"/>
          <w:numId w:val="1002"/>
        </w:numPr>
      </w:pPr>
      <w:r>
        <w:t xml:space="preserve">2.5 cm margins</w:t>
      </w:r>
    </w:p>
    <w:p>
      <w:pPr>
        <w:pStyle w:val="Compact"/>
        <w:numPr>
          <w:ilvl w:val="0"/>
          <w:numId w:val="1002"/>
        </w:numPr>
      </w:pPr>
      <w:r>
        <w:t xml:space="preserve">justified text</w:t>
      </w:r>
    </w:p>
    <w:p>
      <w:pPr>
        <w:pStyle w:val="Compact"/>
        <w:numPr>
          <w:ilvl w:val="0"/>
          <w:numId w:val="1002"/>
        </w:numPr>
      </w:pPr>
      <w:r>
        <w:t xml:space="preserve">page numbers bottom centre</w:t>
      </w:r>
    </w:p>
    <w:bookmarkEnd w:id="11"/>
    <w:bookmarkStart w:id="12" w:name="files-ijmr-expects"/>
    <w:p>
      <w:pPr>
        <w:pStyle w:val="Heading2"/>
      </w:pPr>
      <w:r>
        <w:t xml:space="preserve">Files IJMR expects</w:t>
      </w:r>
    </w:p>
    <w:p>
      <w:pPr>
        <w:pStyle w:val="Compact"/>
        <w:numPr>
          <w:ilvl w:val="0"/>
          <w:numId w:val="1003"/>
        </w:numPr>
      </w:pPr>
      <w:r>
        <w:t xml:space="preserve">first page file</w:t>
      </w:r>
    </w:p>
    <w:p>
      <w:pPr>
        <w:pStyle w:val="Compact"/>
        <w:numPr>
          <w:ilvl w:val="0"/>
          <w:numId w:val="1003"/>
        </w:numPr>
      </w:pPr>
      <w:r>
        <w:t xml:space="preserve">blinded manuscript file</w:t>
      </w:r>
    </w:p>
    <w:p>
      <w:pPr>
        <w:pStyle w:val="Compact"/>
        <w:numPr>
          <w:ilvl w:val="0"/>
          <w:numId w:val="1003"/>
        </w:numPr>
      </w:pPr>
      <w:r>
        <w:t xml:space="preserve">tables and figures</w:t>
      </w:r>
    </w:p>
    <w:p>
      <w:pPr>
        <w:pStyle w:val="Compact"/>
        <w:numPr>
          <w:ilvl w:val="0"/>
          <w:numId w:val="1003"/>
        </w:numPr>
      </w:pPr>
      <w:r>
        <w:t xml:space="preserve">scanned ethical clearance if applicable</w:t>
      </w:r>
    </w:p>
    <w:p>
      <w:pPr>
        <w:pStyle w:val="Compact"/>
        <w:numPr>
          <w:ilvl w:val="0"/>
          <w:numId w:val="1003"/>
        </w:numPr>
      </w:pPr>
      <w:r>
        <w:t xml:space="preserve">author undertaking and copyright transfer agreement</w:t>
      </w:r>
    </w:p>
    <w:bookmarkEnd w:id="12"/>
    <w:bookmarkStart w:id="13" w:name="special-notes-for-this-manuscript"/>
    <w:p>
      <w:pPr>
        <w:pStyle w:val="Heading2"/>
      </w:pPr>
      <w:r>
        <w:t xml:space="preserve">Special notes for this manuscript</w:t>
      </w:r>
    </w:p>
    <w:p>
      <w:pPr>
        <w:pStyle w:val="Compact"/>
        <w:numPr>
          <w:ilvl w:val="0"/>
          <w:numId w:val="1004"/>
        </w:numPr>
      </w:pPr>
      <w:r>
        <w:t xml:space="preserve">ethical clearance is not applicable because this is not primary human-participant research</w:t>
      </w:r>
    </w:p>
    <w:p>
      <w:pPr>
        <w:pStyle w:val="Compact"/>
        <w:numPr>
          <w:ilvl w:val="0"/>
          <w:numId w:val="1004"/>
        </w:numPr>
      </w:pPr>
      <w:r>
        <w:t xml:space="preserve">the manuscript should remain explicit that it is a review-based framework article</w:t>
      </w:r>
    </w:p>
    <w:p>
      <w:pPr>
        <w:pStyle w:val="Compact"/>
        <w:numPr>
          <w:ilvl w:val="0"/>
          <w:numId w:val="1004"/>
        </w:numPr>
      </w:pPr>
      <w:r>
        <w:t xml:space="preserve">no claims of effectiveness, reduction in harm, or implementation impact should be overstated in the absence of prospective evaluation data</w:t>
      </w:r>
    </w:p>
    <w:p>
      <w:pPr>
        <w:pStyle w:val="Compact"/>
        <w:numPr>
          <w:ilvl w:val="0"/>
          <w:numId w:val="1004"/>
        </w:numPr>
      </w:pPr>
      <w:r>
        <w:t xml:space="preserve">if AI tools were used in manuscript preparation, disclosure should be handled in line with journal policy and author responsibility should remain explicit</w:t>
      </w:r>
    </w:p>
    <w:bookmarkEnd w:id="13"/>
    <w:bookmarkStart w:id="14" w:name="follow-up-work-before-actual-submission"/>
    <w:p>
      <w:pPr>
        <w:pStyle w:val="Heading2"/>
      </w:pPr>
      <w:r>
        <w:t xml:space="preserve">Follow-up work before actual submission</w:t>
      </w:r>
    </w:p>
    <w:p>
      <w:pPr>
        <w:pStyle w:val="Compact"/>
        <w:numPr>
          <w:ilvl w:val="0"/>
          <w:numId w:val="1005"/>
        </w:numPr>
      </w:pPr>
      <w:r>
        <w:t xml:space="preserve">confirm final blinded manuscript against journal upload fields</w:t>
      </w:r>
    </w:p>
    <w:p>
      <w:pPr>
        <w:pStyle w:val="Compact"/>
        <w:numPr>
          <w:ilvl w:val="0"/>
          <w:numId w:val="1005"/>
        </w:numPr>
      </w:pPr>
      <w:r>
        <w:t xml:space="preserve">apply final line-spacing, font, and margin settings in Word before upload</w:t>
      </w:r>
    </w:p>
    <w:p>
      <w:pPr>
        <w:pStyle w:val="Compact"/>
        <w:numPr>
          <w:ilvl w:val="0"/>
          <w:numId w:val="1005"/>
        </w:numPr>
      </w:pPr>
      <w:r>
        <w:t xml:space="preserve">cross-check references against the latest IJMR citation examples during the final editorial pass</w:t>
      </w:r>
    </w:p>
    <w:p>
      <w:pPr>
        <w:pStyle w:val="Compact"/>
        <w:numPr>
          <w:ilvl w:val="0"/>
          <w:numId w:val="1005"/>
        </w:numPr>
      </w:pPr>
      <w:r>
        <w:t xml:space="preserve">final word-count check against IJMR review/special article expectations</w:t>
      </w:r>
    </w:p>
    <w:bookmarkEnd w:id="14"/>
    <w:bookmarkStart w:id="15" w:name="package-status"/>
    <w:p>
      <w:pPr>
        <w:pStyle w:val="Heading2"/>
      </w:pPr>
      <w:r>
        <w:t xml:space="preserve">Package status</w:t>
      </w:r>
    </w:p>
    <w:p>
      <w:pPr>
        <w:pStyle w:val="FirstParagraph"/>
      </w:pPr>
      <w:r>
        <w:t xml:space="preserve">The current package now includes:</w:t>
      </w:r>
    </w:p>
    <w:p>
      <w:pPr>
        <w:pStyle w:val="Compact"/>
        <w:numPr>
          <w:ilvl w:val="0"/>
          <w:numId w:val="1006"/>
        </w:numPr>
      </w:pPr>
      <w:r>
        <w:t xml:space="preserve">title page</w:t>
      </w:r>
    </w:p>
    <w:p>
      <w:pPr>
        <w:pStyle w:val="Compact"/>
        <w:numPr>
          <w:ilvl w:val="0"/>
          <w:numId w:val="1006"/>
        </w:numPr>
      </w:pPr>
      <w:r>
        <w:t xml:space="preserve">cover letter</w:t>
      </w:r>
    </w:p>
    <w:p>
      <w:pPr>
        <w:pStyle w:val="Compact"/>
        <w:numPr>
          <w:ilvl w:val="0"/>
          <w:numId w:val="1006"/>
        </w:numPr>
      </w:pPr>
      <w:r>
        <w:t xml:space="preserve">main manuscript</w:t>
      </w:r>
    </w:p>
    <w:p>
      <w:pPr>
        <w:pStyle w:val="Compact"/>
        <w:numPr>
          <w:ilvl w:val="0"/>
          <w:numId w:val="1006"/>
        </w:numPr>
      </w:pPr>
      <w:r>
        <w:t xml:space="preserve">blinded manuscript</w:t>
      </w:r>
    </w:p>
    <w:p>
      <w:pPr>
        <w:pStyle w:val="Compact"/>
        <w:numPr>
          <w:ilvl w:val="0"/>
          <w:numId w:val="1006"/>
        </w:numPr>
      </w:pPr>
      <w:r>
        <w:t xml:space="preserve">figure package</w:t>
      </w:r>
    </w:p>
    <w:p>
      <w:pPr>
        <w:pStyle w:val="Compact"/>
        <w:numPr>
          <w:ilvl w:val="0"/>
          <w:numId w:val="1006"/>
        </w:numPr>
      </w:pPr>
      <w:r>
        <w:t xml:space="preserve">summary table package</w:t>
      </w:r>
    </w:p>
    <w:p>
      <w:pPr>
        <w:pStyle w:val="Compact"/>
        <w:numPr>
          <w:ilvl w:val="0"/>
          <w:numId w:val="1006"/>
        </w:numPr>
      </w:pPr>
      <w:r>
        <w:t xml:space="preserve">submission bundle index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2026-03-08T00:07:29Z</dcterms:created>
  <dcterms:modified xsi:type="dcterms:W3CDTF">2026-03-08T00:07:29Z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