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aa28e71f589452c7daf07c8643fec168393314"/>
    <w:p>
      <w:pPr>
        <w:pStyle w:val="Heading1"/>
      </w:pPr>
      <w:r>
        <w:t xml:space="preserve">A Governance-First Validation Framework for Human-Governed Patient Safety Intelligence Platforms</w:t>
      </w:r>
    </w:p>
    <w:bookmarkStart w:id="13" w:name="title-page"/>
    <w:p>
      <w:pPr>
        <w:pStyle w:val="Heading2"/>
      </w:pPr>
      <w:r>
        <w:t xml:space="preserve">Title page</w:t>
      </w:r>
    </w:p>
    <w:bookmarkStart w:id="9" w:name="full-title"/>
    <w:p>
      <w:pPr>
        <w:pStyle w:val="Heading3"/>
      </w:pPr>
      <w:r>
        <w:t xml:space="preserve">Full title</w:t>
      </w:r>
    </w:p>
    <w:p>
      <w:pPr>
        <w:pStyle w:val="FirstParagraph"/>
      </w:pPr>
      <w:r>
        <w:t xml:space="preserve">A Governance-First Validation Framework for Human-Governed Patient Safety Intelligence Platforms</w:t>
      </w:r>
    </w:p>
    <w:bookmarkEnd w:id="9"/>
    <w:bookmarkStart w:id="10" w:name="short-title"/>
    <w:p>
      <w:pPr>
        <w:pStyle w:val="Heading3"/>
      </w:pPr>
      <w:r>
        <w:t xml:space="preserve">Short title</w:t>
      </w:r>
    </w:p>
    <w:p>
      <w:pPr>
        <w:pStyle w:val="FirstParagraph"/>
      </w:pPr>
      <w:r>
        <w:t xml:space="preserve">Governance-first safety AI validation</w:t>
      </w:r>
    </w:p>
    <w:bookmarkEnd w:id="10"/>
    <w:bookmarkStart w:id="11" w:name="authors"/>
    <w:p>
      <w:pPr>
        <w:pStyle w:val="Heading3"/>
      </w:pPr>
      <w:r>
        <w:t xml:space="preserve">Authors</w:t>
      </w:r>
    </w:p>
    <w:p>
      <w:pPr>
        <w:pStyle w:val="FirstParagraph"/>
      </w:pPr>
      <w:r>
        <w:t xml:space="preserve">[Author names and affiliations to be inserted]</w:t>
      </w:r>
    </w:p>
    <w:bookmarkEnd w:id="11"/>
    <w:bookmarkStart w:id="12" w:name="corresponding-author"/>
    <w:p>
      <w:pPr>
        <w:pStyle w:val="Heading3"/>
      </w:pPr>
      <w:r>
        <w:t xml:space="preserve">Corresponding author</w:t>
      </w:r>
    </w:p>
    <w:p>
      <w:pPr>
        <w:pStyle w:val="FirstParagraph"/>
      </w:pPr>
      <w:r>
        <w:t xml:space="preserve">[Name, institution, email to be inserted]</w:t>
      </w:r>
    </w:p>
    <w:bookmarkEnd w:id="12"/>
    <w:bookmarkEnd w:id="13"/>
    <w:bookmarkStart w:id="19" w:name="abstract"/>
    <w:p>
      <w:pPr>
        <w:pStyle w:val="Heading2"/>
      </w:pPr>
      <w:r>
        <w:t xml:space="preserve">Abstract</w:t>
      </w:r>
    </w:p>
    <w:bookmarkStart w:id="14" w:name="background"/>
    <w:p>
      <w:pPr>
        <w:pStyle w:val="Heading3"/>
      </w:pPr>
      <w:r>
        <w:t xml:space="preserve">Background</w:t>
      </w:r>
    </w:p>
    <w:p>
      <w:pPr>
        <w:pStyle w:val="FirstParagraph"/>
      </w:pPr>
      <w:r>
        <w:t xml:space="preserve">Digital patient safety tools increasingly depend on algorithmic logic, workflow automation, and organizational trust. Yet many implementations treat governance and validation as downstream compliance activities rather than core safety controls.</w:t>
      </w:r>
    </w:p>
    <w:bookmarkEnd w:id="14"/>
    <w:bookmarkStart w:id="15" w:name="objective"/>
    <w:p>
      <w:pPr>
        <w:pStyle w:val="Heading3"/>
      </w:pPr>
      <w:r>
        <w:t xml:space="preserve">Objective</w:t>
      </w:r>
    </w:p>
    <w:p>
      <w:pPr>
        <w:pStyle w:val="FirstParagraph"/>
      </w:pPr>
      <w:r>
        <w:t xml:space="preserve">To define a governance-first validation framework for real-time patient safety intelligence systems that integrates operational accountability, policy lifecycle control, human oversight, and staged evidence generation.</w:t>
      </w:r>
    </w:p>
    <w:bookmarkEnd w:id="15"/>
    <w:bookmarkStart w:id="16" w:name="methods"/>
    <w:p>
      <w:pPr>
        <w:pStyle w:val="Heading3"/>
      </w:pPr>
      <w:r>
        <w:t xml:space="preserve">Methods</w:t>
      </w:r>
    </w:p>
    <w:p>
      <w:pPr>
        <w:pStyle w:val="FirstParagraph"/>
      </w:pPr>
      <w:r>
        <w:t xml:space="preserve">We synthesized governance and validation requirements from the SentinelCare founder blueprint and mapped them to current patient safety strategy, U.S. decision support regulation, ONC transparency expectations, machine learning lifecycle guidance, and evidence from external validation studies of real-world clinical prediction systems.</w:t>
      </w:r>
    </w:p>
    <w:bookmarkEnd w:id="16"/>
    <w:bookmarkStart w:id="17" w:name="results"/>
    <w:p>
      <w:pPr>
        <w:pStyle w:val="Heading3"/>
      </w:pPr>
      <w:r>
        <w:t xml:space="preserve">Results</w:t>
      </w:r>
    </w:p>
    <w:p>
      <w:pPr>
        <w:pStyle w:val="FirstParagraph"/>
      </w:pPr>
      <w:r>
        <w:t xml:space="preserve">The framework specifies runtime governance artifacts, policy state transitions, release gates, override logging, and four staged validation phases: retrospective benchmarking, silent prospective validation, controlled live pilot, and scale-up. It defines minimum safety controls for accountable alerting and a metric set that combines technical performance, workflow response, and governance outcomes.</w:t>
      </w:r>
    </w:p>
    <w:bookmarkEnd w:id="17"/>
    <w:bookmarkStart w:id="18" w:name="conclusions"/>
    <w:p>
      <w:pPr>
        <w:pStyle w:val="Heading3"/>
      </w:pPr>
      <w:r>
        <w:t xml:space="preserve">Conclusions</w:t>
      </w:r>
    </w:p>
    <w:p>
      <w:pPr>
        <w:pStyle w:val="FirstParagraph"/>
      </w:pPr>
      <w:r>
        <w:t xml:space="preserve">Governance and validation should be built into the operating core of patient safety intelligence systems. A governance-first framework improves trustworthiness, supports safer deployment, and reduces the risk of unsafe automation bias or unmonitored workflow burden.</w:t>
      </w:r>
    </w:p>
    <w:bookmarkEnd w:id="18"/>
    <w:bookmarkEnd w:id="19"/>
    <w:bookmarkStart w:id="20" w:name="introduction"/>
    <w:p>
      <w:pPr>
        <w:pStyle w:val="Heading2"/>
      </w:pPr>
      <w:r>
        <w:t xml:space="preserve">Introduction</w:t>
      </w:r>
    </w:p>
    <w:p>
      <w:pPr>
        <w:pStyle w:val="FirstParagraph"/>
      </w:pPr>
      <w:r>
        <w:t xml:space="preserve">The rapid expansion of AI-enabled clinical tools has sharpened a long-standing tension in healthcare technology: performance claims can advance faster than operational safety assurance. This is especially problematic in patient safety applications, where the consequences of poor calibration, workflow misfit, alert overload, or opaque recommendations may directly contribute to harm. Recent external evaluations of widely deployed sepsis prediction tools have shown that real-world performance can diverge substantially from development expectations. These findings underscore a broader principle: clinical intelligence systems must be governable as operational safety interventions, not merely evaluated as predictive artifacts.</w:t>
      </w:r>
    </w:p>
    <w:p>
      <w:pPr>
        <w:pStyle w:val="BodyText"/>
      </w:pPr>
      <w:r>
        <w:t xml:space="preserve">Patient safety programs have long required structured oversight, accountability, and continuous learning. WHO patient safety strategy and the U.S. National Action Plan to Advance Patient Safety both reinforce that safer systems depend on leadership, culture, infrastructure, and learning loops. Digital safety systems therefore inherit not only technical validation requirements but also organizational governance requirements. In parallel, FDA Clinical Decision Support Software guidance, FDA Good Machine Learning Practice principles, and ONC Decision Support Interventions transparency expectations collectively suggest that explainability, provenance, intended use boundaries, and change control are now central to responsible deployment.</w:t>
      </w:r>
    </w:p>
    <w:p>
      <w:pPr>
        <w:pStyle w:val="BodyText"/>
      </w:pPr>
      <w:r>
        <w:t xml:space="preserve">The SentinelCare blueprint responds to this environment by embedding governance and validation into core architecture. Instead of treating oversight as a documentation layer added after development, the blueprint includes approval workflows, audit logging, validation stages, override capture, model and policy registry functions, and rollback controls within the system design itself.</w:t>
      </w:r>
    </w:p>
    <w:p>
      <w:pPr>
        <w:pStyle w:val="BodyText"/>
      </w:pPr>
      <w:r>
        <w:t xml:space="preserve">This manuscript presents a governance-first validation framework derived from that blueprint and supported by current regulatory and implementation evidence. The goal is to define a practical structure for trustworthy deployment of real-time patient safety intelligence systems operating under human oversight.</w:t>
      </w:r>
    </w:p>
    <w:bookmarkEnd w:id="20"/>
    <w:bookmarkStart w:id="24" w:name="methods-1"/>
    <w:p>
      <w:pPr>
        <w:pStyle w:val="Heading2"/>
      </w:pPr>
      <w:r>
        <w:t xml:space="preserve">Methods</w:t>
      </w:r>
    </w:p>
    <w:bookmarkStart w:id="21" w:name="design-source-and-synthesis-strategy"/>
    <w:p>
      <w:pPr>
        <w:pStyle w:val="Heading3"/>
      </w:pPr>
      <w:r>
        <w:t xml:space="preserve">Design source and synthesis strategy</w:t>
      </w:r>
    </w:p>
    <w:p>
      <w:pPr>
        <w:pStyle w:val="FirstParagraph"/>
      </w:pPr>
      <w:r>
        <w:t xml:space="preserve">The core source was the SentinelCare founder blueprint, specifically sections describing governance requirements, model and policy management, learning loops, validation stages, risk register, and agent responsibilities. We conducted a targeted synthesis of external guidance and real-world implementation evidence relevant to operational governance.</w:t>
      </w:r>
    </w:p>
    <w:bookmarkEnd w:id="21"/>
    <w:bookmarkStart w:id="22" w:name="source-categories"/>
    <w:p>
      <w:pPr>
        <w:pStyle w:val="Heading3"/>
      </w:pPr>
      <w:r>
        <w:t xml:space="preserve">Source categories</w:t>
      </w:r>
    </w:p>
    <w:p>
      <w:pPr>
        <w:pStyle w:val="FirstParagraph"/>
      </w:pPr>
      <w:r>
        <w:t xml:space="preserve">The synthesis prioritized the following categories:</w:t>
      </w:r>
    </w:p>
    <w:p>
      <w:pPr>
        <w:pStyle w:val="Compact"/>
        <w:numPr>
          <w:ilvl w:val="0"/>
          <w:numId w:val="1001"/>
        </w:numPr>
      </w:pPr>
      <w:r>
        <w:t xml:space="preserve">patient safety strategy and governance frameworks,</w:t>
      </w:r>
    </w:p>
    <w:p>
      <w:pPr>
        <w:pStyle w:val="Compact"/>
        <w:numPr>
          <w:ilvl w:val="0"/>
          <w:numId w:val="1001"/>
        </w:numPr>
      </w:pPr>
      <w:r>
        <w:t xml:space="preserve">CDS and medical software regulation,</w:t>
      </w:r>
    </w:p>
    <w:p>
      <w:pPr>
        <w:pStyle w:val="Compact"/>
        <w:numPr>
          <w:ilvl w:val="0"/>
          <w:numId w:val="1001"/>
        </w:numPr>
      </w:pPr>
      <w:r>
        <w:t xml:space="preserve">machine learning lifecycle guidance,</w:t>
      </w:r>
    </w:p>
    <w:p>
      <w:pPr>
        <w:pStyle w:val="Compact"/>
        <w:numPr>
          <w:ilvl w:val="0"/>
          <w:numId w:val="1001"/>
        </w:numPr>
      </w:pPr>
      <w:r>
        <w:t xml:space="preserve">transparency and intervention requirements for health IT,</w:t>
      </w:r>
    </w:p>
    <w:p>
      <w:pPr>
        <w:pStyle w:val="Compact"/>
        <w:numPr>
          <w:ilvl w:val="0"/>
          <w:numId w:val="1001"/>
        </w:numPr>
      </w:pPr>
      <w:r>
        <w:t xml:space="preserve">empirical evidence on external validation and implementation risk.</w:t>
      </w:r>
    </w:p>
    <w:p>
      <w:pPr>
        <w:pStyle w:val="FirstParagraph"/>
      </w:pPr>
      <w:r>
        <w:t xml:space="preserve">The purpose was not to create a legal interpretation document but to derive a defensible governance and validation structure for system design and staged deployment.</w:t>
      </w:r>
    </w:p>
    <w:bookmarkEnd w:id="22"/>
    <w:bookmarkStart w:id="23" w:name="analytic-questions"/>
    <w:p>
      <w:pPr>
        <w:pStyle w:val="Heading3"/>
      </w:pPr>
      <w:r>
        <w:t xml:space="preserve">Analytic questions</w:t>
      </w:r>
    </w:p>
    <w:p>
      <w:pPr>
        <w:pStyle w:val="FirstParagraph"/>
      </w:pPr>
      <w:r>
        <w:t xml:space="preserve">We assessed the blueprint against four governance questions:</w:t>
      </w:r>
    </w:p>
    <w:p>
      <w:pPr>
        <w:pStyle w:val="Compact"/>
        <w:numPr>
          <w:ilvl w:val="0"/>
          <w:numId w:val="1002"/>
        </w:numPr>
      </w:pPr>
      <w:r>
        <w:t xml:space="preserve">what controls must exist before high-risk safety signaling is used operationally,</w:t>
      </w:r>
    </w:p>
    <w:p>
      <w:pPr>
        <w:pStyle w:val="Compact"/>
        <w:numPr>
          <w:ilvl w:val="0"/>
          <w:numId w:val="1002"/>
        </w:numPr>
      </w:pPr>
      <w:r>
        <w:t xml:space="preserve">what policy and model lifecycle states should be represented,</w:t>
      </w:r>
    </w:p>
    <w:p>
      <w:pPr>
        <w:pStyle w:val="Compact"/>
        <w:numPr>
          <w:ilvl w:val="0"/>
          <w:numId w:val="1002"/>
        </w:numPr>
      </w:pPr>
      <w:r>
        <w:t xml:space="preserve">how should validation progress from retrospective assessment to live use,</w:t>
      </w:r>
    </w:p>
    <w:p>
      <w:pPr>
        <w:pStyle w:val="Compact"/>
        <w:numPr>
          <w:ilvl w:val="0"/>
          <w:numId w:val="1002"/>
        </w:numPr>
      </w:pPr>
      <w:r>
        <w:t xml:space="preserve">what metrics best reveal unsafe or low-value deployment.</w:t>
      </w:r>
    </w:p>
    <w:bookmarkEnd w:id="23"/>
    <w:bookmarkEnd w:id="24"/>
    <w:bookmarkStart w:id="31" w:name="results-1"/>
    <w:p>
      <w:pPr>
        <w:pStyle w:val="Heading2"/>
      </w:pPr>
      <w:r>
        <w:t xml:space="preserve">Results</w:t>
      </w:r>
    </w:p>
    <w:bookmarkStart w:id="25" w:name="governance-as-a-runtime-safety-function"/>
    <w:p>
      <w:pPr>
        <w:pStyle w:val="Heading3"/>
      </w:pPr>
      <w:r>
        <w:t xml:space="preserve">Governance as a runtime safety function</w:t>
      </w:r>
    </w:p>
    <w:p>
      <w:pPr>
        <w:pStyle w:val="FirstParagraph"/>
      </w:pPr>
      <w:r>
        <w:t xml:space="preserve">The framework’s first result is that governance should be treated as an active runtime function rather than a static review process. In practical terms, this means that the system itself must track:</w:t>
      </w:r>
    </w:p>
    <w:p>
      <w:pPr>
        <w:pStyle w:val="Compact"/>
        <w:numPr>
          <w:ilvl w:val="0"/>
          <w:numId w:val="1003"/>
        </w:numPr>
      </w:pPr>
      <w:r>
        <w:t xml:space="preserve">which policy version or model logic is active,</w:t>
      </w:r>
    </w:p>
    <w:p>
      <w:pPr>
        <w:pStyle w:val="Compact"/>
        <w:numPr>
          <w:ilvl w:val="0"/>
          <w:numId w:val="1003"/>
        </w:numPr>
      </w:pPr>
      <w:r>
        <w:t xml:space="preserve">who approved it,</w:t>
      </w:r>
    </w:p>
    <w:p>
      <w:pPr>
        <w:pStyle w:val="Compact"/>
        <w:numPr>
          <w:ilvl w:val="0"/>
          <w:numId w:val="1003"/>
        </w:numPr>
      </w:pPr>
      <w:r>
        <w:t xml:space="preserve">what evidence supported approval,</w:t>
      </w:r>
    </w:p>
    <w:p>
      <w:pPr>
        <w:pStyle w:val="Compact"/>
        <w:numPr>
          <w:ilvl w:val="0"/>
          <w:numId w:val="1003"/>
        </w:numPr>
      </w:pPr>
      <w:r>
        <w:t xml:space="preserve">whether changes can be rolled back,</w:t>
      </w:r>
    </w:p>
    <w:p>
      <w:pPr>
        <w:pStyle w:val="Compact"/>
        <w:numPr>
          <w:ilvl w:val="0"/>
          <w:numId w:val="1003"/>
        </w:numPr>
      </w:pPr>
      <w:r>
        <w:t xml:space="preserve">what alert actions and overrides occurred under that version.</w:t>
      </w:r>
    </w:p>
    <w:p>
      <w:pPr>
        <w:pStyle w:val="FirstParagraph"/>
      </w:pPr>
      <w:r>
        <w:t xml:space="preserve">These are not merely administrative conveniences. They are essential for associating real-world behavior with accountable design decisions. Without versioned governance state, meaningful post-deployment learning is weak or impossible.</w:t>
      </w:r>
    </w:p>
    <w:bookmarkEnd w:id="25"/>
    <w:bookmarkStart w:id="26" w:name="human-oversight-requirements"/>
    <w:p>
      <w:pPr>
        <w:pStyle w:val="Heading3"/>
      </w:pPr>
      <w:r>
        <w:t xml:space="preserve">Human oversight requirements</w:t>
      </w:r>
    </w:p>
    <w:p>
      <w:pPr>
        <w:pStyle w:val="FirstParagraph"/>
      </w:pPr>
      <w:r>
        <w:t xml:space="preserve">The framework defines human-in-the-loop oversight as a mandatory operating principle for high-risk interventions. This includes:</w:t>
      </w:r>
    </w:p>
    <w:p>
      <w:pPr>
        <w:pStyle w:val="Compact"/>
        <w:numPr>
          <w:ilvl w:val="0"/>
          <w:numId w:val="1004"/>
        </w:numPr>
      </w:pPr>
      <w:r>
        <w:t xml:space="preserve">explicit role ownership for every actionable alert,</w:t>
      </w:r>
    </w:p>
    <w:p>
      <w:pPr>
        <w:pStyle w:val="Compact"/>
        <w:numPr>
          <w:ilvl w:val="0"/>
          <w:numId w:val="1004"/>
        </w:numPr>
      </w:pPr>
      <w:r>
        <w:t xml:space="preserve">required confirmation or adjudication for severe or disruptive interventions,</w:t>
      </w:r>
    </w:p>
    <w:p>
      <w:pPr>
        <w:pStyle w:val="Compact"/>
        <w:numPr>
          <w:ilvl w:val="0"/>
          <w:numId w:val="1004"/>
        </w:numPr>
      </w:pPr>
      <w:r>
        <w:t xml:space="preserve">override logging with structured rationale capture,</w:t>
      </w:r>
    </w:p>
    <w:p>
      <w:pPr>
        <w:pStyle w:val="Compact"/>
        <w:numPr>
          <w:ilvl w:val="0"/>
          <w:numId w:val="1004"/>
        </w:numPr>
      </w:pPr>
      <w:r>
        <w:t xml:space="preserve">scheduled review of override patterns and harmful false positives.</w:t>
      </w:r>
    </w:p>
    <w:p>
      <w:pPr>
        <w:pStyle w:val="FirstParagraph"/>
      </w:pPr>
      <w:r>
        <w:t xml:space="preserve">This design reduces the risk of unchecked automation bias. It also creates a structured dissent channel, which is important because disagreement between clinician and system is itself valuable safety information.</w:t>
      </w:r>
    </w:p>
    <w:bookmarkEnd w:id="26"/>
    <w:bookmarkStart w:id="27" w:name="policy-lifecycle-model"/>
    <w:p>
      <w:pPr>
        <w:pStyle w:val="Heading3"/>
      </w:pPr>
      <w:r>
        <w:t xml:space="preserve">Policy lifecycle model</w:t>
      </w:r>
    </w:p>
    <w:p>
      <w:pPr>
        <w:pStyle w:val="FirstParagraph"/>
      </w:pPr>
      <w:r>
        <w:t xml:space="preserve">Policy control in the framework is represented through explicit state transitions:</w:t>
      </w:r>
    </w:p>
    <w:p>
      <w:pPr>
        <w:pStyle w:val="Compact"/>
        <w:numPr>
          <w:ilvl w:val="0"/>
          <w:numId w:val="1005"/>
        </w:numPr>
      </w:pPr>
      <w:r>
        <w:t xml:space="preserve">draft,</w:t>
      </w:r>
    </w:p>
    <w:p>
      <w:pPr>
        <w:pStyle w:val="Compact"/>
        <w:numPr>
          <w:ilvl w:val="0"/>
          <w:numId w:val="1005"/>
        </w:numPr>
      </w:pPr>
      <w:r>
        <w:t xml:space="preserve">pending approval,</w:t>
      </w:r>
    </w:p>
    <w:p>
      <w:pPr>
        <w:pStyle w:val="Compact"/>
        <w:numPr>
          <w:ilvl w:val="0"/>
          <w:numId w:val="1005"/>
        </w:numPr>
      </w:pPr>
      <w:r>
        <w:t xml:space="preserve">approved active,</w:t>
      </w:r>
    </w:p>
    <w:p>
      <w:pPr>
        <w:pStyle w:val="Compact"/>
        <w:numPr>
          <w:ilvl w:val="0"/>
          <w:numId w:val="1005"/>
        </w:numPr>
      </w:pPr>
      <w:r>
        <w:t xml:space="preserve">approved inactive or superseded,</w:t>
      </w:r>
    </w:p>
    <w:p>
      <w:pPr>
        <w:pStyle w:val="Compact"/>
        <w:numPr>
          <w:ilvl w:val="0"/>
          <w:numId w:val="1005"/>
        </w:numPr>
      </w:pPr>
      <w:r>
        <w:t xml:space="preserve">retired.</w:t>
      </w:r>
    </w:p>
    <w:p>
      <w:pPr>
        <w:pStyle w:val="FirstParagraph"/>
      </w:pPr>
      <w:r>
        <w:t xml:space="preserve">This model allows site adaptation without losing governance history. It also supports staged deployment in which narrow pilot policies can be activated while broader future policies remain in controlled development.</w:t>
      </w:r>
    </w:p>
    <w:bookmarkEnd w:id="27"/>
    <w:bookmarkStart w:id="28" w:name="staged-validation-pathway"/>
    <w:p>
      <w:pPr>
        <w:pStyle w:val="Heading3"/>
      </w:pPr>
      <w:r>
        <w:t xml:space="preserve">Staged validation pathway</w:t>
      </w:r>
    </w:p>
    <w:p>
      <w:pPr>
        <w:pStyle w:val="FirstParagraph"/>
      </w:pPr>
      <w:r>
        <w:t xml:space="preserve">The framework organizes validation into four sequential stages.</w:t>
      </w:r>
    </w:p>
    <w:p>
      <w:pPr>
        <w:pStyle w:val="BodyText"/>
      </w:pPr>
      <w:r>
        <w:t xml:space="preserve">Stage 1 is retrospective offline validation. Its purpose is to benchmark discrimination, calibration, and subgroup behavior against curated historical events. This stage establishes whether candidate logic is even suitable for prospective observation.</w:t>
      </w:r>
    </w:p>
    <w:p>
      <w:pPr>
        <w:pStyle w:val="BodyText"/>
      </w:pPr>
      <w:r>
        <w:t xml:space="preserve">Stage 2 is silent prospective validation. In this phase, the system runs in the background without influencing care. This is operationally crucial because it measures workflow burden, signal timing, and real-world false-positive cost before exposure to intervention effects.</w:t>
      </w:r>
    </w:p>
    <w:p>
      <w:pPr>
        <w:pStyle w:val="BodyText"/>
      </w:pPr>
      <w:r>
        <w:t xml:space="preserve">Stage 3 is a controlled live pilot. Severe alerts are restricted, mandatory review can be imposed, and weekly governance adjudication is built into operational cadence. The pilot is intentionally bounded to one or a few units.</w:t>
      </w:r>
    </w:p>
    <w:p>
      <w:pPr>
        <w:pStyle w:val="BodyText"/>
      </w:pPr>
      <w:r>
        <w:t xml:space="preserve">Stage 4 is scale-up. Expansion beyond the pilot is contingent on demonstrated performance stability, burden tolerability, and governance maturity. Drift monitoring and fairness review are introduced as explicit scale requirements.</w:t>
      </w:r>
    </w:p>
    <w:bookmarkEnd w:id="28"/>
    <w:bookmarkStart w:id="29" w:name="minimum-safety-control-set"/>
    <w:p>
      <w:pPr>
        <w:pStyle w:val="Heading3"/>
      </w:pPr>
      <w:r>
        <w:t xml:space="preserve">Minimum safety control set</w:t>
      </w:r>
    </w:p>
    <w:p>
      <w:pPr>
        <w:pStyle w:val="FirstParagraph"/>
      </w:pPr>
      <w:r>
        <w:t xml:space="preserve">From the blueprint and guidance synthesis, we derived a minimum safety control set for deployment:</w:t>
      </w:r>
    </w:p>
    <w:p>
      <w:pPr>
        <w:pStyle w:val="Compact"/>
        <w:numPr>
          <w:ilvl w:val="0"/>
          <w:numId w:val="1006"/>
        </w:numPr>
      </w:pPr>
      <w:r>
        <w:t xml:space="preserve">evidence-bearing alerts only,</w:t>
      </w:r>
    </w:p>
    <w:p>
      <w:pPr>
        <w:pStyle w:val="Compact"/>
        <w:numPr>
          <w:ilvl w:val="0"/>
          <w:numId w:val="1006"/>
        </w:numPr>
      </w:pPr>
      <w:r>
        <w:t xml:space="preserve">source transparency and explainability,</w:t>
      </w:r>
    </w:p>
    <w:p>
      <w:pPr>
        <w:pStyle w:val="Compact"/>
        <w:numPr>
          <w:ilvl w:val="0"/>
          <w:numId w:val="1006"/>
        </w:numPr>
      </w:pPr>
      <w:r>
        <w:t xml:space="preserve">owner and deadline attached to every actionable alert,</w:t>
      </w:r>
    </w:p>
    <w:p>
      <w:pPr>
        <w:pStyle w:val="Compact"/>
        <w:numPr>
          <w:ilvl w:val="0"/>
          <w:numId w:val="1006"/>
        </w:numPr>
      </w:pPr>
      <w:r>
        <w:t xml:space="preserve">queue and escalation state tracking,</w:t>
      </w:r>
    </w:p>
    <w:p>
      <w:pPr>
        <w:pStyle w:val="Compact"/>
        <w:numPr>
          <w:ilvl w:val="0"/>
          <w:numId w:val="1006"/>
        </w:numPr>
      </w:pPr>
      <w:r>
        <w:t xml:space="preserve">override capture and review,</w:t>
      </w:r>
    </w:p>
    <w:p>
      <w:pPr>
        <w:pStyle w:val="Compact"/>
        <w:numPr>
          <w:ilvl w:val="0"/>
          <w:numId w:val="1006"/>
        </w:numPr>
      </w:pPr>
      <w:r>
        <w:t xml:space="preserve">versioned policy activation,</w:t>
      </w:r>
    </w:p>
    <w:p>
      <w:pPr>
        <w:pStyle w:val="Compact"/>
        <w:numPr>
          <w:ilvl w:val="0"/>
          <w:numId w:val="1006"/>
        </w:numPr>
      </w:pPr>
      <w:r>
        <w:t xml:space="preserve">rollback or kill-switch capability,</w:t>
      </w:r>
    </w:p>
    <w:p>
      <w:pPr>
        <w:pStyle w:val="Compact"/>
        <w:numPr>
          <w:ilvl w:val="0"/>
          <w:numId w:val="1006"/>
        </w:numPr>
      </w:pPr>
      <w:r>
        <w:t xml:space="preserve">validation artifact generation before broad deployment.</w:t>
      </w:r>
    </w:p>
    <w:p>
      <w:pPr>
        <w:pStyle w:val="FirstParagraph"/>
      </w:pPr>
      <w:r>
        <w:t xml:space="preserve">This control set is sufficient to distinguish a governable safety system from a loosely supervised alert engine.</w:t>
      </w:r>
    </w:p>
    <w:bookmarkEnd w:id="29"/>
    <w:bookmarkStart w:id="30" w:name="governance-metrics"/>
    <w:p>
      <w:pPr>
        <w:pStyle w:val="Heading3"/>
      </w:pPr>
      <w:r>
        <w:t xml:space="preserve">Governance metrics</w:t>
      </w:r>
    </w:p>
    <w:p>
      <w:pPr>
        <w:pStyle w:val="FirstParagraph"/>
      </w:pPr>
      <w:r>
        <w:t xml:space="preserve">The framework recommends that governance be evaluated with operational metrics, not only approval records. Core measures include:</w:t>
      </w:r>
    </w:p>
    <w:p>
      <w:pPr>
        <w:pStyle w:val="Compact"/>
        <w:numPr>
          <w:ilvl w:val="0"/>
          <w:numId w:val="1007"/>
        </w:numPr>
      </w:pPr>
      <w:r>
        <w:t xml:space="preserve">harmful false-positive rate,</w:t>
      </w:r>
    </w:p>
    <w:p>
      <w:pPr>
        <w:pStyle w:val="Compact"/>
        <w:numPr>
          <w:ilvl w:val="0"/>
          <w:numId w:val="1007"/>
        </w:numPr>
      </w:pPr>
      <w:r>
        <w:t xml:space="preserve">no-action-after-alert rate,</w:t>
      </w:r>
    </w:p>
    <w:p>
      <w:pPr>
        <w:pStyle w:val="Compact"/>
        <w:numPr>
          <w:ilvl w:val="0"/>
          <w:numId w:val="1007"/>
        </w:numPr>
      </w:pPr>
      <w:r>
        <w:t xml:space="preserve">override rate and override rationale distribution,</w:t>
      </w:r>
    </w:p>
    <w:p>
      <w:pPr>
        <w:pStyle w:val="Compact"/>
        <w:numPr>
          <w:ilvl w:val="0"/>
          <w:numId w:val="1007"/>
        </w:numPr>
      </w:pPr>
      <w:r>
        <w:t xml:space="preserve">closure completeness,</w:t>
      </w:r>
    </w:p>
    <w:p>
      <w:pPr>
        <w:pStyle w:val="Compact"/>
        <w:numPr>
          <w:ilvl w:val="0"/>
          <w:numId w:val="1007"/>
        </w:numPr>
      </w:pPr>
      <w:r>
        <w:t xml:space="preserve">escalation latency,</w:t>
      </w:r>
    </w:p>
    <w:p>
      <w:pPr>
        <w:pStyle w:val="Compact"/>
        <w:numPr>
          <w:ilvl w:val="0"/>
          <w:numId w:val="1007"/>
        </w:numPr>
      </w:pPr>
      <w:r>
        <w:t xml:space="preserve">alert burden by role,</w:t>
      </w:r>
    </w:p>
    <w:p>
      <w:pPr>
        <w:pStyle w:val="Compact"/>
        <w:numPr>
          <w:ilvl w:val="0"/>
          <w:numId w:val="1007"/>
        </w:numPr>
      </w:pPr>
      <w:r>
        <w:t xml:space="preserve">change impact after policy or threshold updates.</w:t>
      </w:r>
    </w:p>
    <w:p>
      <w:pPr>
        <w:pStyle w:val="FirstParagraph"/>
      </w:pPr>
      <w:r>
        <w:t xml:space="preserve">These metrics expose whether a system is not only accurate, but also safe to operate.</w:t>
      </w:r>
    </w:p>
    <w:bookmarkEnd w:id="30"/>
    <w:bookmarkEnd w:id="31"/>
    <w:bookmarkStart w:id="32" w:name="discussion"/>
    <w:p>
      <w:pPr>
        <w:pStyle w:val="Heading2"/>
      </w:pPr>
      <w:r>
        <w:t xml:space="preserve">Discussion</w:t>
      </w:r>
    </w:p>
    <w:p>
      <w:pPr>
        <w:pStyle w:val="FirstParagraph"/>
      </w:pPr>
      <w:r>
        <w:t xml:space="preserve">The principal implication of this framework is that responsible patient safety intelligence requires integration of governance and validation into the operational core. This is particularly important for platforms like SentinelCare that aspire to cover multiple domains and settings. The broader the scope, the greater the need for structured policy control, staged validation, and explicit accountability.</w:t>
      </w:r>
    </w:p>
    <w:p>
      <w:pPr>
        <w:pStyle w:val="BodyText"/>
      </w:pPr>
      <w:r>
        <w:t xml:space="preserve">The framework is also a response to lessons from real-world CDS and AI deployment. External validation failures in sepsis prediction systems have demonstrated that transportability cannot be assumed. Similarly, medication alerting literature shows that even technically correct signals can become low-value or harmful if alert burden is poorly controlled. A governance-first architecture does not eliminate these risks, but it makes them visible, measurable, and correctable.</w:t>
      </w:r>
    </w:p>
    <w:p>
      <w:pPr>
        <w:pStyle w:val="BodyText"/>
      </w:pPr>
      <w:r>
        <w:t xml:space="preserve">This work further clarifies the relationship between patient safety and AI regulation. The most useful interpretation of current regulatory and policy guidance is not that every safety tool must become a device, but that all serious clinical safety systems must meet higher standards of transparency, lifecycle control, and intended-use discipline. SentinelCare’s governance architecture is designed to satisfy those expectations while remaining adaptable to local implementation realities.</w:t>
      </w:r>
    </w:p>
    <w:p>
      <w:pPr>
        <w:pStyle w:val="BodyText"/>
      </w:pPr>
      <w:r>
        <w:t xml:space="preserve">There are limitations. This framework does not replace formal regulatory review for specific production configurations. It also does not yet include completed prospective clinical-effectiveness data. Some governance controls, particularly fairness review and drift analytics, require broader production-scale data than are present in early pilot phases. Still, the framework establishes the operational and scientific structure needed before those later stages are attempted.</w:t>
      </w:r>
    </w:p>
    <w:bookmarkEnd w:id="32"/>
    <w:bookmarkStart w:id="33" w:name="conclusion"/>
    <w:p>
      <w:pPr>
        <w:pStyle w:val="Heading2"/>
      </w:pPr>
      <w:r>
        <w:t xml:space="preserve">Conclusion</w:t>
      </w:r>
    </w:p>
    <w:p>
      <w:pPr>
        <w:pStyle w:val="FirstParagraph"/>
      </w:pPr>
      <w:r>
        <w:t xml:space="preserve">Governance and validation are not peripheral concerns for patient safety intelligence systems; they are central safety mechanisms. A governance-first validation framework provides the conditions under which real-time safety intelligence can be deployed with accountability, transparency, and adaptive control. SentinelCare’s blueprint offers a practical structure for that deployment pathway.</w:t>
      </w:r>
    </w:p>
    <w:bookmarkEnd w:id="33"/>
    <w:bookmarkStart w:id="41" w:name="declarations"/>
    <w:p>
      <w:pPr>
        <w:pStyle w:val="Heading2"/>
      </w:pPr>
      <w:r>
        <w:t xml:space="preserve">Declarations</w:t>
      </w:r>
    </w:p>
    <w:bookmarkStart w:id="34" w:name="Xd182db0490b2de20bd2b4e4cc8698599182035f"/>
    <w:p>
      <w:pPr>
        <w:pStyle w:val="Heading3"/>
      </w:pPr>
      <w:r>
        <w:t xml:space="preserve">Ethics approval and consent to participate</w:t>
      </w:r>
    </w:p>
    <w:p>
      <w:pPr>
        <w:pStyle w:val="FirstParagraph"/>
      </w:pPr>
      <w:r>
        <w:t xml:space="preserve">Not applicable.</w:t>
      </w:r>
    </w:p>
    <w:bookmarkEnd w:id="34"/>
    <w:bookmarkStart w:id="35" w:name="consent-for-publication"/>
    <w:p>
      <w:pPr>
        <w:pStyle w:val="Heading3"/>
      </w:pPr>
      <w:r>
        <w:t xml:space="preserve">Consent for publication</w:t>
      </w:r>
    </w:p>
    <w:p>
      <w:pPr>
        <w:pStyle w:val="FirstParagraph"/>
      </w:pPr>
      <w:r>
        <w:t xml:space="preserve">Not applicable.</w:t>
      </w:r>
    </w:p>
    <w:bookmarkEnd w:id="35"/>
    <w:bookmarkStart w:id="36" w:name="data-availability"/>
    <w:p>
      <w:pPr>
        <w:pStyle w:val="Heading3"/>
      </w:pPr>
      <w:r>
        <w:t xml:space="preserve">Data availability</w:t>
      </w:r>
    </w:p>
    <w:p>
      <w:pPr>
        <w:pStyle w:val="FirstParagraph"/>
      </w:pPr>
      <w:r>
        <w:t xml:space="preserve">No patient-level dataset is reported in this manuscript.</w:t>
      </w:r>
    </w:p>
    <w:bookmarkEnd w:id="36"/>
    <w:bookmarkStart w:id="37" w:name="code-availability"/>
    <w:p>
      <w:pPr>
        <w:pStyle w:val="Heading3"/>
      </w:pPr>
      <w:r>
        <w:t xml:space="preserve">Code availability</w:t>
      </w:r>
    </w:p>
    <w:p>
      <w:pPr>
        <w:pStyle w:val="FirstParagraph"/>
      </w:pPr>
      <w:r>
        <w:t xml:space="preserve">Repository: https://github.com/hssling/sentinelcare-mvp</w:t>
      </w:r>
    </w:p>
    <w:bookmarkEnd w:id="37"/>
    <w:bookmarkStart w:id="38" w:name="funding"/>
    <w:p>
      <w:pPr>
        <w:pStyle w:val="Heading3"/>
      </w:pPr>
      <w:r>
        <w:t xml:space="preserve">Funding</w:t>
      </w:r>
    </w:p>
    <w:p>
      <w:pPr>
        <w:pStyle w:val="FirstParagraph"/>
      </w:pPr>
      <w:r>
        <w:t xml:space="preserve">[To be inserted]</w:t>
      </w:r>
    </w:p>
    <w:bookmarkEnd w:id="38"/>
    <w:bookmarkStart w:id="39" w:name="author-contributions"/>
    <w:p>
      <w:pPr>
        <w:pStyle w:val="Heading3"/>
      </w:pPr>
      <w:r>
        <w:t xml:space="preserve">Author contributions</w:t>
      </w:r>
    </w:p>
    <w:p>
      <w:pPr>
        <w:pStyle w:val="FirstParagraph"/>
      </w:pPr>
      <w:r>
        <w:t xml:space="preserve">[To be inserted]</w:t>
      </w:r>
    </w:p>
    <w:bookmarkEnd w:id="39"/>
    <w:bookmarkStart w:id="40" w:name="competing-interests"/>
    <w:p>
      <w:pPr>
        <w:pStyle w:val="Heading3"/>
      </w:pPr>
      <w:r>
        <w:t xml:space="preserve">Competing interests</w:t>
      </w:r>
    </w:p>
    <w:p>
      <w:pPr>
        <w:pStyle w:val="FirstParagraph"/>
      </w:pPr>
      <w:r>
        <w:t xml:space="preserve">[To be inserted]</w:t>
      </w:r>
    </w:p>
    <w:bookmarkEnd w:id="40"/>
    <w:bookmarkEnd w:id="41"/>
    <w:bookmarkStart w:id="42" w:name="references"/>
    <w:p>
      <w:pPr>
        <w:pStyle w:val="Heading2"/>
      </w:pPr>
      <w:r>
        <w:t xml:space="preserve">References</w:t>
      </w:r>
    </w:p>
    <w:p>
      <w:pPr>
        <w:pStyle w:val="Compact"/>
        <w:numPr>
          <w:ilvl w:val="0"/>
          <w:numId w:val="1008"/>
        </w:numPr>
      </w:pPr>
      <w:r>
        <w:t xml:space="preserve">World Health Organization. Global Patient Safety Action Plan 2021-2030. Geneva: WHO; 2021. Available from: https://www.who.int/publications/i/item/9789240032705</w:t>
      </w:r>
    </w:p>
    <w:p>
      <w:pPr>
        <w:pStyle w:val="Compact"/>
        <w:numPr>
          <w:ilvl w:val="0"/>
          <w:numId w:val="1008"/>
        </w:numPr>
      </w:pPr>
      <w:r>
        <w:t xml:space="preserve">World Health Organization. Global patient safety report 2024. Geneva: WHO; 2024. Available from: https://iris.who.int/handle/10665/376928</w:t>
      </w:r>
    </w:p>
    <w:p>
      <w:pPr>
        <w:pStyle w:val="Compact"/>
        <w:numPr>
          <w:ilvl w:val="0"/>
          <w:numId w:val="1008"/>
        </w:numPr>
      </w:pPr>
      <w:r>
        <w:t xml:space="preserve">Institute for Healthcare Improvement. Safer Together: A National Action Plan to Advance Patient Safety. Boston: IHI. Available from: https://www.ihi.org/national-action-plan-advance-patient-safety</w:t>
      </w:r>
    </w:p>
    <w:p>
      <w:pPr>
        <w:pStyle w:val="Compact"/>
        <w:numPr>
          <w:ilvl w:val="0"/>
          <w:numId w:val="1008"/>
        </w:numPr>
      </w:pPr>
      <w:r>
        <w:t xml:space="preserve">U.S. Food and Drug Administration. Clinical Decision Support Software: Guidance for Industry and Food and Drug Administration Staff. January 2026. Available from: https://www.fda.gov/regulatory-information/search-fda-guidance-documents/clinical-decision-support-software</w:t>
      </w:r>
    </w:p>
    <w:p>
      <w:pPr>
        <w:pStyle w:val="Compact"/>
        <w:numPr>
          <w:ilvl w:val="0"/>
          <w:numId w:val="1008"/>
        </w:numPr>
      </w:pPr>
      <w:r>
        <w:t xml:space="preserve">U.S. Food and Drug Administration. Good Machine Learning Practice for Medical Device Development: Guiding Principles. Available from: https://www.fda.gov/medical-devices/software-medical-device-samd/good-machine-learning-practice-medical-device-development-guiding-principles</w:t>
      </w:r>
    </w:p>
    <w:p>
      <w:pPr>
        <w:pStyle w:val="Compact"/>
        <w:numPr>
          <w:ilvl w:val="0"/>
          <w:numId w:val="1008"/>
        </w:numPr>
      </w:pPr>
      <w:r>
        <w:t xml:space="preserve">Office of the National Coordinator for Health Information Technology. Decision support interventions. Available from: https://www.healthit.gov/test-method/decision-support-interventions</w:t>
      </w:r>
    </w:p>
    <w:p>
      <w:pPr>
        <w:pStyle w:val="Compact"/>
        <w:numPr>
          <w:ilvl w:val="0"/>
          <w:numId w:val="1008"/>
        </w:numPr>
      </w:pPr>
      <w:r>
        <w:t xml:space="preserve">Wong A, Otles E, Donnelly JP, et al. External validation of a widely implemented proprietary sepsis prediction model in hospitalized patients. JAMA Intern Med. 2021. Available from: https://jamanetwork.com/journals/jamainternalmedicine/fullarticle/2781307</w:t>
      </w:r>
    </w:p>
    <w:p>
      <w:pPr>
        <w:pStyle w:val="Compact"/>
        <w:numPr>
          <w:ilvl w:val="0"/>
          <w:numId w:val="1008"/>
        </w:numPr>
      </w:pPr>
      <w:r>
        <w:t xml:space="preserve">Apalodimas L, Peiffer-Smadja N, et al. External validation in county emergency departments of a widely implemented sepsis model. JAMIA Open. 2024. Available from: https://pubmed.ncbi.nlm.nih.gov/39545248/</w:t>
      </w:r>
    </w:p>
    <w:p>
      <w:pPr>
        <w:pStyle w:val="Compact"/>
        <w:numPr>
          <w:ilvl w:val="0"/>
          <w:numId w:val="1008"/>
        </w:numPr>
      </w:pPr>
      <w:r>
        <w:t xml:space="preserve">Slight SP, Beeler PE, Seger DL, et al. Medication-related alert override patterns and implications for safety. BMJ Qual Saf. 2018. Available from: https://pubmed.ncbi.nlm.nih.gov/30463867/</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2026-03-07T17:12:56Z</dcterms:created>
  <dcterms:modified xsi:type="dcterms:W3CDTF">2026-03-07T17:12:56Z</dcterms:modified>
</cp:coreProperties>
</file>

<file path=docProps/custom.xml><?xml version="1.0" encoding="utf-8"?>
<Properties xmlns="http://schemas.openxmlformats.org/officeDocument/2006/custom-properties" xmlns:vt="http://schemas.openxmlformats.org/officeDocument/2006/docPropsVTypes"/>
</file>