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fc109380a24a7acb99036d9721a8c129893370"/>
    <w:p>
      <w:pPr>
        <w:pStyle w:val="Heading1"/>
      </w:pPr>
      <w:r>
        <w:t xml:space="preserve">Final Word polish checklist for lead IJMR manuscript</w:t>
      </w:r>
    </w:p>
    <w:p>
      <w:pPr>
        <w:pStyle w:val="FirstParagraph"/>
      </w:pPr>
      <w:r>
        <w:t xml:space="preserve">Use this checklist on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immediately before upload.</w:t>
      </w:r>
    </w:p>
    <w:bookmarkStart w:id="9" w:name="lead-manuscript"/>
    <w:p>
      <w:pPr>
        <w:pStyle w:val="Heading2"/>
      </w:pPr>
      <w:r>
        <w:t xml:space="preserve">Lead manuscript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manuscript_ijmr_special_article_surveillance.docx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manuscript_ijmr_special_article_surveillance_blinded.docx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title_page_ijmr.docx</w:t>
      </w:r>
    </w:p>
    <w:bookmarkEnd w:id="9"/>
    <w:bookmarkStart w:id="10" w:name="typography-and-layout"/>
    <w:p>
      <w:pPr>
        <w:pStyle w:val="Heading2"/>
      </w:pPr>
      <w:r>
        <w:t xml:space="preserve">Typography and layout</w:t>
      </w:r>
    </w:p>
    <w:p>
      <w:pPr>
        <w:pStyle w:val="Compact"/>
        <w:numPr>
          <w:ilvl w:val="0"/>
          <w:numId w:val="1004"/>
        </w:numPr>
      </w:pPr>
      <w:r>
        <w:t xml:space="preserve">Times New Roman, 12 pt throughout body text</w:t>
      </w:r>
    </w:p>
    <w:p>
      <w:pPr>
        <w:pStyle w:val="Compact"/>
        <w:numPr>
          <w:ilvl w:val="0"/>
          <w:numId w:val="1005"/>
        </w:numPr>
      </w:pPr>
      <w:r>
        <w:t xml:space="preserve">1.5 line spacing throughout manuscript text</w:t>
      </w:r>
    </w:p>
    <w:p>
      <w:pPr>
        <w:pStyle w:val="Compact"/>
        <w:numPr>
          <w:ilvl w:val="0"/>
          <w:numId w:val="1006"/>
        </w:numPr>
      </w:pPr>
      <w:r>
        <w:t xml:space="preserve">2.5 cm margins on all sides</w:t>
      </w:r>
    </w:p>
    <w:p>
      <w:pPr>
        <w:pStyle w:val="Compact"/>
        <w:numPr>
          <w:ilvl w:val="0"/>
          <w:numId w:val="1007"/>
        </w:numPr>
      </w:pPr>
      <w:r>
        <w:t xml:space="preserve">justified body paragraphs</w:t>
      </w:r>
    </w:p>
    <w:p>
      <w:pPr>
        <w:pStyle w:val="Compact"/>
        <w:numPr>
          <w:ilvl w:val="0"/>
          <w:numId w:val="1008"/>
        </w:numPr>
      </w:pPr>
      <w:r>
        <w:t xml:space="preserve">page numbers centered at footer</w:t>
      </w:r>
    </w:p>
    <w:p>
      <w:pPr>
        <w:pStyle w:val="Compact"/>
        <w:numPr>
          <w:ilvl w:val="0"/>
          <w:numId w:val="1009"/>
        </w:numPr>
      </w:pPr>
      <w:r>
        <w:t xml:space="preserve">consistent heading hierarchy</w:t>
      </w:r>
    </w:p>
    <w:p>
      <w:pPr>
        <w:pStyle w:val="Compact"/>
        <w:numPr>
          <w:ilvl w:val="0"/>
          <w:numId w:val="1010"/>
        </w:numPr>
      </w:pPr>
      <w:r>
        <w:t xml:space="preserve">no bolding in reference list unless journal example explicitly uses it</w:t>
      </w:r>
    </w:p>
    <w:bookmarkEnd w:id="10"/>
    <w:bookmarkStart w:id="11" w:name="blinding-and-metadata"/>
    <w:p>
      <w:pPr>
        <w:pStyle w:val="Heading2"/>
      </w:pPr>
      <w:r>
        <w:t xml:space="preserve">Blinding and metadata</w:t>
      </w:r>
    </w:p>
    <w:p>
      <w:pPr>
        <w:pStyle w:val="Compact"/>
        <w:numPr>
          <w:ilvl w:val="0"/>
          <w:numId w:val="1011"/>
        </w:numPr>
      </w:pPr>
      <w:r>
        <w:t xml:space="preserve">author name appears only on title page</w:t>
      </w:r>
    </w:p>
    <w:p>
      <w:pPr>
        <w:pStyle w:val="Compact"/>
        <w:numPr>
          <w:ilvl w:val="0"/>
          <w:numId w:val="1012"/>
        </w:numPr>
      </w:pPr>
      <w:r>
        <w:t xml:space="preserve">institution name removed from blinded manuscript</w:t>
      </w:r>
    </w:p>
    <w:p>
      <w:pPr>
        <w:pStyle w:val="Compact"/>
        <w:numPr>
          <w:ilvl w:val="0"/>
          <w:numId w:val="1013"/>
        </w:numPr>
      </w:pPr>
      <w:r>
        <w:t xml:space="preserve">acknowledgments removed from blinded manuscript if not required at first review</w:t>
      </w:r>
    </w:p>
    <w:p>
      <w:pPr>
        <w:pStyle w:val="Compact"/>
        <w:numPr>
          <w:ilvl w:val="0"/>
          <w:numId w:val="1014"/>
        </w:numPr>
      </w:pPr>
      <w:r>
        <w:t xml:space="preserve">file properties checked if final Word document contains author metadata</w:t>
      </w:r>
    </w:p>
    <w:bookmarkEnd w:id="11"/>
    <w:bookmarkStart w:id="12" w:name="abstract-and-keywords"/>
    <w:p>
      <w:pPr>
        <w:pStyle w:val="Heading2"/>
      </w:pPr>
      <w:r>
        <w:t xml:space="preserve">Abstract and keywords</w:t>
      </w:r>
    </w:p>
    <w:p>
      <w:pPr>
        <w:pStyle w:val="Compact"/>
        <w:numPr>
          <w:ilvl w:val="0"/>
          <w:numId w:val="1015"/>
        </w:numPr>
      </w:pPr>
      <w:r>
        <w:t xml:space="preserve">abstract within IJMR expectation for special/review article</w:t>
      </w:r>
    </w:p>
    <w:p>
      <w:pPr>
        <w:pStyle w:val="Compact"/>
        <w:numPr>
          <w:ilvl w:val="0"/>
          <w:numId w:val="1016"/>
        </w:numPr>
      </w:pPr>
      <w:r>
        <w:t xml:space="preserve">keywords consistent with MeSH-style discoverability where possible</w:t>
      </w:r>
    </w:p>
    <w:p>
      <w:pPr>
        <w:pStyle w:val="Compact"/>
        <w:numPr>
          <w:ilvl w:val="0"/>
          <w:numId w:val="1017"/>
        </w:numPr>
      </w:pPr>
      <w:r>
        <w:t xml:space="preserve">no unsupported claims of implementation effectiveness</w:t>
      </w:r>
    </w:p>
    <w:bookmarkEnd w:id="12"/>
    <w:bookmarkStart w:id="13" w:name="tables-and-figures"/>
    <w:p>
      <w:pPr>
        <w:pStyle w:val="Heading2"/>
      </w:pPr>
      <w:r>
        <w:t xml:space="preserve">Tables and figures</w:t>
      </w:r>
    </w:p>
    <w:p>
      <w:pPr>
        <w:pStyle w:val="Compact"/>
        <w:numPr>
          <w:ilvl w:val="0"/>
          <w:numId w:val="1018"/>
        </w:numPr>
      </w:pPr>
      <w:r>
        <w:t xml:space="preserve">Table 1 retained in final manuscript or uploaded separately as required</w:t>
      </w:r>
    </w:p>
    <w:p>
      <w:pPr>
        <w:pStyle w:val="Compact"/>
        <w:numPr>
          <w:ilvl w:val="0"/>
          <w:numId w:val="1019"/>
        </w:numPr>
      </w:pPr>
      <w:r>
        <w:t xml:space="preserve">figure captions are concise and self-explanatory</w:t>
      </w:r>
    </w:p>
    <w:p>
      <w:pPr>
        <w:pStyle w:val="Compact"/>
        <w:numPr>
          <w:ilvl w:val="0"/>
          <w:numId w:val="1020"/>
        </w:numPr>
      </w:pPr>
      <w:r>
        <w:t xml:space="preserve">figures remain legible in grayscale print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1"/>
        </w:numPr>
      </w:pPr>
      <w:r>
        <w:t xml:space="preserve">order of appearance preserved</w:t>
      </w:r>
    </w:p>
    <w:p>
      <w:pPr>
        <w:pStyle w:val="Compact"/>
        <w:numPr>
          <w:ilvl w:val="0"/>
          <w:numId w:val="1022"/>
        </w:numPr>
      </w:pPr>
      <w:r>
        <w:t xml:space="preserve">punctuation cross-checked against latest IJMR examples</w:t>
      </w:r>
    </w:p>
    <w:p>
      <w:pPr>
        <w:pStyle w:val="Compact"/>
        <w:numPr>
          <w:ilvl w:val="0"/>
          <w:numId w:val="1023"/>
        </w:numPr>
      </w:pPr>
      <w:r>
        <w:t xml:space="preserve">journal abbreviations consistent</w:t>
      </w:r>
    </w:p>
    <w:p>
      <w:pPr>
        <w:pStyle w:val="Compact"/>
        <w:numPr>
          <w:ilvl w:val="0"/>
          <w:numId w:val="1024"/>
        </w:numPr>
      </w:pPr>
      <w:r>
        <w:t xml:space="preserve">web references include organization and source context</w:t>
      </w:r>
    </w:p>
    <w:bookmarkEnd w:id="14"/>
    <w:bookmarkStart w:id="15" w:name="final-editorial-risk-check"/>
    <w:p>
      <w:pPr>
        <w:pStyle w:val="Heading2"/>
      </w:pPr>
      <w:r>
        <w:t xml:space="preserve">Final editorial risk check</w:t>
      </w:r>
    </w:p>
    <w:p>
      <w:pPr>
        <w:pStyle w:val="Compact"/>
        <w:numPr>
          <w:ilvl w:val="0"/>
          <w:numId w:val="1025"/>
        </w:numPr>
      </w:pPr>
      <w:r>
        <w:t xml:space="preserve">manuscript clearly presented as framework/review article, not outcome evaluation</w:t>
      </w:r>
    </w:p>
    <w:p>
      <w:pPr>
        <w:pStyle w:val="Compact"/>
        <w:numPr>
          <w:ilvl w:val="0"/>
          <w:numId w:val="1026"/>
        </w:numPr>
      </w:pPr>
      <w:r>
        <w:t xml:space="preserve">methods section clearly states structured narrative review approach</w:t>
      </w:r>
    </w:p>
    <w:p>
      <w:pPr>
        <w:pStyle w:val="Compact"/>
        <w:numPr>
          <w:ilvl w:val="0"/>
          <w:numId w:val="1027"/>
        </w:numPr>
      </w:pPr>
      <w:r>
        <w:t xml:space="preserve">conclusion stays within evidence boundaries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2026-03-08T00:10:19Z</dcterms:created>
  <dcterms:modified xsi:type="dcterms:W3CDTF">2026-03-08T00:10:19Z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