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jmr-lead-package-submission-checklist"/>
    <w:p>
      <w:pPr>
        <w:pStyle w:val="Heading1"/>
      </w:pPr>
      <w:r>
        <w:t xml:space="preserve">IJMR lead-package submission checklist</w:t>
      </w:r>
    </w:p>
    <w:bookmarkStart w:id="9" w:name="recommended-first-submission"/>
    <w:p>
      <w:pPr>
        <w:pStyle w:val="Heading2"/>
      </w:pPr>
      <w:r>
        <w:t xml:space="preserve">Recommended first submission</w:t>
      </w:r>
    </w:p>
    <w:p>
      <w:pPr>
        <w:pStyle w:val="FirstParagraph"/>
      </w:pPr>
      <w:r>
        <w:rPr>
          <w:rStyle w:val="VerbatimChar"/>
        </w:rPr>
        <w:t xml:space="preserve">Building a federated patient safety surveillance system for India: a digital public health framework for reporting, learning, governance, and prevention</w:t>
      </w:r>
    </w:p>
    <w:bookmarkEnd w:id="9"/>
    <w:bookmarkStart w:id="10" w:name="files-to-upload"/>
    <w:p>
      <w:pPr>
        <w:pStyle w:val="Heading2"/>
      </w:pPr>
      <w:r>
        <w:t xml:space="preserve">Files to upload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title_page_ijmr.docx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manuscript_ijmr_special_article_surveillance_blinded.docx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cover_letter_ijmr.docx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summary_table_ijmr.docx</w:t>
      </w:r>
    </w:p>
    <w:p>
      <w:pPr>
        <w:pStyle w:val="Compact"/>
        <w:numPr>
          <w:ilvl w:val="0"/>
          <w:numId w:val="1001"/>
        </w:numPr>
      </w:pPr>
      <w:r>
        <w:t xml:space="preserve">figure files or figure package as requested by portal</w:t>
      </w:r>
    </w:p>
    <w:bookmarkEnd w:id="10"/>
    <w:bookmarkStart w:id="11" w:name="final-checks"/>
    <w:p>
      <w:pPr>
        <w:pStyle w:val="Heading2"/>
      </w:pPr>
      <w:r>
        <w:t xml:space="preserve">Final checks</w:t>
      </w:r>
    </w:p>
    <w:p>
      <w:pPr>
        <w:pStyle w:val="Compact"/>
        <w:numPr>
          <w:ilvl w:val="0"/>
          <w:numId w:val="1002"/>
        </w:numPr>
      </w:pPr>
      <w:r>
        <w:t xml:space="preserve">title page separated from blinded manuscript</w:t>
      </w:r>
    </w:p>
    <w:p>
      <w:pPr>
        <w:pStyle w:val="Compact"/>
        <w:numPr>
          <w:ilvl w:val="0"/>
          <w:numId w:val="1003"/>
        </w:numPr>
      </w:pPr>
      <w:r>
        <w:t xml:space="preserve">references reviewed against current IJMR house style</w:t>
      </w:r>
    </w:p>
    <w:p>
      <w:pPr>
        <w:pStyle w:val="Compact"/>
        <w:numPr>
          <w:ilvl w:val="0"/>
          <w:numId w:val="1004"/>
        </w:numPr>
      </w:pPr>
      <w:r>
        <w:t xml:space="preserve">abstract and keywords final</w:t>
      </w:r>
    </w:p>
    <w:p>
      <w:pPr>
        <w:pStyle w:val="Compact"/>
        <w:numPr>
          <w:ilvl w:val="0"/>
          <w:numId w:val="1005"/>
        </w:numPr>
      </w:pPr>
      <w:r>
        <w:t xml:space="preserve">figure captions and table title final</w:t>
      </w:r>
    </w:p>
    <w:p>
      <w:pPr>
        <w:pStyle w:val="Compact"/>
        <w:numPr>
          <w:ilvl w:val="0"/>
          <w:numId w:val="1006"/>
        </w:numPr>
      </w:pPr>
      <w:r>
        <w:t xml:space="preserve">corresponding-author details verified</w:t>
      </w:r>
    </w:p>
    <w:p>
      <w:pPr>
        <w:pStyle w:val="Compact"/>
        <w:numPr>
          <w:ilvl w:val="0"/>
          <w:numId w:val="1007"/>
        </w:numPr>
      </w:pPr>
      <w:r>
        <w:t xml:space="preserve">manuscript framing remains within review/framework evidence boundaries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2026-03-08T00:10:20Z</dcterms:created>
  <dcterms:modified xsi:type="dcterms:W3CDTF">2026-03-08T00:10:20Z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