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ijmr-submission-priority-note"/>
    <w:p>
      <w:pPr>
        <w:pStyle w:val="Heading1"/>
      </w:pPr>
      <w:r>
        <w:t xml:space="preserve">IJMR submission priority note</w:t>
      </w:r>
    </w:p>
    <w:bookmarkStart w:id="9" w:name="recommended-submission-order"/>
    <w:p>
      <w:pPr>
        <w:pStyle w:val="Heading2"/>
      </w:pPr>
      <w:r>
        <w:t xml:space="preserve">Recommended submission order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First:</w:t>
      </w:r>
      <w:r>
        <w:t xml:space="preserve"> </w:t>
      </w:r>
      <w:r>
        <w:t xml:space="preserve">federated surveillance framework manuscript</w:t>
      </w:r>
      <w:r>
        <w:br/>
      </w:r>
      <w:r>
        <w:t xml:space="preserve">File:</w:t>
      </w:r>
      <w:r>
        <w:t xml:space="preserve"> </w:t>
      </w:r>
      <w:r>
        <w:rPr>
          <w:rStyle w:val="VerbatimChar"/>
        </w:rPr>
        <w:t xml:space="preserve">ijmr_special_article_surveillance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Second:</w:t>
      </w:r>
      <w:r>
        <w:t xml:space="preserve"> </w:t>
      </w:r>
      <w:r>
        <w:t xml:space="preserve">reporting and learning systems review</w:t>
      </w:r>
      <w:r>
        <w:br/>
      </w:r>
      <w:r>
        <w:t xml:space="preserve">File:</w:t>
      </w:r>
      <w:r>
        <w:t xml:space="preserve"> </w:t>
      </w:r>
      <w:r>
        <w:rPr>
          <w:rStyle w:val="VerbatimChar"/>
        </w:rPr>
        <w:t xml:space="preserve">ijmr_review_patient_safety_learning_systems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Third:</w:t>
      </w:r>
      <w:r>
        <w:t xml:space="preserve"> </w:t>
      </w:r>
      <w:r>
        <w:t xml:space="preserve">governance and bounded AI manuscript</w:t>
      </w:r>
      <w:r>
        <w:br/>
      </w:r>
      <w:r>
        <w:t xml:space="preserve">File:</w:t>
      </w:r>
      <w:r>
        <w:t xml:space="preserve"> </w:t>
      </w:r>
      <w:r>
        <w:rPr>
          <w:rStyle w:val="VerbatimChar"/>
        </w:rPr>
        <w:t xml:space="preserve">ijmr_governance_bounded_ai_safety_surveillance</w:t>
      </w:r>
    </w:p>
    <w:bookmarkEnd w:id="9"/>
    <w:bookmarkStart w:id="10" w:name="X3a58ced8a361c3701c4d8f21e578052202566ea"/>
    <w:p>
      <w:pPr>
        <w:pStyle w:val="Heading2"/>
      </w:pPr>
      <w:r>
        <w:t xml:space="preserve">Why the framework manuscript should go first</w:t>
      </w:r>
    </w:p>
    <w:p>
      <w:pPr>
        <w:pStyle w:val="FirstParagraph"/>
      </w:pPr>
      <w:r>
        <w:t xml:space="preserve">It has the strongest India-specific public-health and systems-design identity. It is also the broadest and most foundational paper in the series. For IJMR, that makes it the least niche and the most defensible opening submission.</w:t>
      </w:r>
    </w:p>
    <w:bookmarkEnd w:id="10"/>
    <w:bookmarkStart w:id="11" w:name="Xa32c2913f1ce31666e5a93c9e0ff27c425e12c0"/>
    <w:p>
      <w:pPr>
        <w:pStyle w:val="Heading2"/>
      </w:pPr>
      <w:r>
        <w:t xml:space="preserve">Why the review manuscript should go second</w:t>
      </w:r>
    </w:p>
    <w:p>
      <w:pPr>
        <w:pStyle w:val="FirstParagraph"/>
      </w:pPr>
      <w:r>
        <w:t xml:space="preserve">It is solid and relevant, but it is conceptually more generic. Its main value is interpretive depth and literature synthesis. That makes it a strong follow-up paper, but not the best first impression if only one manuscript is submitted initially.</w:t>
      </w:r>
    </w:p>
    <w:bookmarkEnd w:id="11"/>
    <w:bookmarkStart w:id="12" w:name="X9c3007343821228fa9a1edc350e17b402829e60"/>
    <w:p>
      <w:pPr>
        <w:pStyle w:val="Heading2"/>
      </w:pPr>
      <w:r>
        <w:t xml:space="preserve">Why the governance/AI manuscript should go third</w:t>
      </w:r>
    </w:p>
    <w:p>
      <w:pPr>
        <w:pStyle w:val="FirstParagraph"/>
      </w:pPr>
      <w:r>
        <w:t xml:space="preserve">It is timely and strategically important, but editorially it carries the highest conceptual-risk profile because AI governance can be read as narrower or more speculative unless paired with the broader surveillance framework already established.</w:t>
      </w:r>
    </w:p>
    <w:bookmarkEnd w:id="12"/>
    <w:bookmarkStart w:id="16" w:name="editorial-risk-assessment"/>
    <w:p>
      <w:pPr>
        <w:pStyle w:val="Heading2"/>
      </w:pPr>
      <w:r>
        <w:t xml:space="preserve">Editorial risk assessment</w:t>
      </w:r>
    </w:p>
    <w:bookmarkStart w:id="13" w:name="lowest-risk"/>
    <w:p>
      <w:pPr>
        <w:pStyle w:val="Heading3"/>
      </w:pPr>
      <w:r>
        <w:t xml:space="preserve">Lowest risk</w:t>
      </w:r>
    </w:p>
    <w:p>
      <w:pPr>
        <w:pStyle w:val="FirstParagraph"/>
      </w:pPr>
      <w:r>
        <w:rPr>
          <w:rStyle w:val="VerbatimChar"/>
        </w:rPr>
        <w:t xml:space="preserve">ijmr_special_article_surveillance</w:t>
      </w:r>
    </w:p>
    <w:p>
      <w:pPr>
        <w:pStyle w:val="Compact"/>
        <w:numPr>
          <w:ilvl w:val="0"/>
          <w:numId w:val="1002"/>
        </w:numPr>
      </w:pPr>
      <w:r>
        <w:t xml:space="preserve">strongest India-specific systems framing</w:t>
      </w:r>
    </w:p>
    <w:p>
      <w:pPr>
        <w:pStyle w:val="Compact"/>
        <w:numPr>
          <w:ilvl w:val="0"/>
          <w:numId w:val="1002"/>
        </w:numPr>
      </w:pPr>
      <w:r>
        <w:t xml:space="preserve">broadest relevance across public health, health systems, and digital health</w:t>
      </w:r>
    </w:p>
    <w:p>
      <w:pPr>
        <w:pStyle w:val="Compact"/>
        <w:numPr>
          <w:ilvl w:val="0"/>
          <w:numId w:val="1002"/>
        </w:numPr>
      </w:pPr>
      <w:r>
        <w:t xml:space="preserve">least dependent on editorial appetite for AI or implementation theory</w:t>
      </w:r>
    </w:p>
    <w:bookmarkEnd w:id="13"/>
    <w:bookmarkStart w:id="14" w:name="moderate-risk"/>
    <w:p>
      <w:pPr>
        <w:pStyle w:val="Heading3"/>
      </w:pPr>
      <w:r>
        <w:t xml:space="preserve">Moderate risk</w:t>
      </w:r>
    </w:p>
    <w:p>
      <w:pPr>
        <w:pStyle w:val="FirstParagraph"/>
      </w:pPr>
      <w:r>
        <w:rPr>
          <w:rStyle w:val="VerbatimChar"/>
        </w:rPr>
        <w:t xml:space="preserve">ijmr_review_patient_safety_learning_systems</w:t>
      </w:r>
    </w:p>
    <w:p>
      <w:pPr>
        <w:pStyle w:val="Compact"/>
        <w:numPr>
          <w:ilvl w:val="0"/>
          <w:numId w:val="1003"/>
        </w:numPr>
      </w:pPr>
      <w:r>
        <w:t xml:space="preserve">strong literature base</w:t>
      </w:r>
    </w:p>
    <w:p>
      <w:pPr>
        <w:pStyle w:val="Compact"/>
        <w:numPr>
          <w:ilvl w:val="0"/>
          <w:numId w:val="1003"/>
        </w:numPr>
      </w:pPr>
      <w:r>
        <w:t xml:space="preserve">slightly less India-distinct as a standalone submission</w:t>
      </w:r>
    </w:p>
    <w:bookmarkEnd w:id="14"/>
    <w:bookmarkStart w:id="15" w:name="highest-risk"/>
    <w:p>
      <w:pPr>
        <w:pStyle w:val="Heading3"/>
      </w:pPr>
      <w:r>
        <w:t xml:space="preserve">Highest risk</w:t>
      </w:r>
    </w:p>
    <w:p>
      <w:pPr>
        <w:pStyle w:val="FirstParagraph"/>
      </w:pPr>
      <w:r>
        <w:rPr>
          <w:rStyle w:val="VerbatimChar"/>
        </w:rPr>
        <w:t xml:space="preserve">ijmr_governance_bounded_ai_safety_surveillance</w:t>
      </w:r>
    </w:p>
    <w:p>
      <w:pPr>
        <w:pStyle w:val="Compact"/>
        <w:numPr>
          <w:ilvl w:val="0"/>
          <w:numId w:val="1004"/>
        </w:numPr>
      </w:pPr>
      <w:r>
        <w:t xml:space="preserve">timely and strong, but narrower</w:t>
      </w:r>
    </w:p>
    <w:p>
      <w:pPr>
        <w:pStyle w:val="Compact"/>
        <w:numPr>
          <w:ilvl w:val="0"/>
          <w:numId w:val="1004"/>
        </w:numPr>
      </w:pPr>
      <w:r>
        <w:t xml:space="preserve">more exposed to reviewer concerns about future-facing framing</w:t>
      </w:r>
    </w:p>
    <w:bookmarkEnd w:id="15"/>
    <w:bookmarkEnd w:id="16"/>
    <w:bookmarkStart w:id="17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Submit the federated surveillance framework manuscript first. If it is well received, use that momentum to submit the reporting-and-learning review next, followed by the governance/AI manuscript.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2026-03-08T00:10:20Z</dcterms:created>
  <dcterms:modified xsi:type="dcterms:W3CDTF">2026-03-08T00:10:20Z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