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figure-and-table-package"/>
    <w:p>
      <w:pPr>
        <w:pStyle w:val="Heading1"/>
      </w:pPr>
      <w:r>
        <w:t xml:space="preserve">Figure and Table Package</w:t>
      </w:r>
    </w:p>
    <w:bookmarkStart w:id="12" w:name="figures"/>
    <w:p>
      <w:pPr>
        <w:pStyle w:val="Heading2"/>
      </w:pPr>
      <w:r>
        <w:t xml:space="preserve">Figures</w:t>
      </w:r>
    </w:p>
    <w:bookmarkStart w:id="9" w:name="X1d26b88617af40340588b1f178757888f42b337"/>
    <w:p>
      <w:pPr>
        <w:pStyle w:val="Heading3"/>
      </w:pPr>
      <w:r>
        <w:t xml:space="preserve">Figure 1. Ten-domain SentinelCare patient safety taxonomy</w:t>
      </w:r>
    </w:p>
    <w:p>
      <w:pPr>
        <w:pStyle w:val="FirstParagraph"/>
      </w:pPr>
      <w:r>
        <w:t xml:space="preserve">Domains:</w:t>
      </w:r>
    </w:p>
    <w:p>
      <w:pPr>
        <w:pStyle w:val="Compact"/>
        <w:numPr>
          <w:ilvl w:val="0"/>
          <w:numId w:val="1001"/>
        </w:numPr>
      </w:pPr>
      <w:r>
        <w:t xml:space="preserve">Medication safety</w:t>
      </w:r>
    </w:p>
    <w:p>
      <w:pPr>
        <w:pStyle w:val="Compact"/>
        <w:numPr>
          <w:ilvl w:val="0"/>
          <w:numId w:val="1001"/>
        </w:numPr>
      </w:pPr>
      <w:r>
        <w:t xml:space="preserve">Diagnostic safety</w:t>
      </w:r>
    </w:p>
    <w:p>
      <w:pPr>
        <w:pStyle w:val="Compact"/>
        <w:numPr>
          <w:ilvl w:val="0"/>
          <w:numId w:val="1001"/>
        </w:numPr>
      </w:pPr>
      <w:r>
        <w:t xml:space="preserve">Procedure and surgical safety</w:t>
      </w:r>
    </w:p>
    <w:p>
      <w:pPr>
        <w:pStyle w:val="Compact"/>
        <w:numPr>
          <w:ilvl w:val="0"/>
          <w:numId w:val="1001"/>
        </w:numPr>
      </w:pPr>
      <w:r>
        <w:t xml:space="preserve">Deterioration surveillance</w:t>
      </w:r>
    </w:p>
    <w:p>
      <w:pPr>
        <w:pStyle w:val="Compact"/>
        <w:numPr>
          <w:ilvl w:val="0"/>
          <w:numId w:val="1001"/>
        </w:numPr>
      </w:pPr>
      <w:r>
        <w:t xml:space="preserve">Infection prevention and environmental safety</w:t>
      </w:r>
    </w:p>
    <w:p>
      <w:pPr>
        <w:pStyle w:val="Compact"/>
        <w:numPr>
          <w:ilvl w:val="0"/>
          <w:numId w:val="1001"/>
        </w:numPr>
      </w:pPr>
      <w:r>
        <w:t xml:space="preserve">Laboratory and radiology process safety</w:t>
      </w:r>
    </w:p>
    <w:p>
      <w:pPr>
        <w:pStyle w:val="Compact"/>
        <w:numPr>
          <w:ilvl w:val="0"/>
          <w:numId w:val="1001"/>
        </w:numPr>
      </w:pPr>
      <w:r>
        <w:t xml:space="preserve">Care transition safety</w:t>
      </w:r>
    </w:p>
    <w:p>
      <w:pPr>
        <w:pStyle w:val="Compact"/>
        <w:numPr>
          <w:ilvl w:val="0"/>
          <w:numId w:val="1001"/>
        </w:numPr>
      </w:pPr>
      <w:r>
        <w:t xml:space="preserve">Documentation and communication safety</w:t>
      </w:r>
    </w:p>
    <w:p>
      <w:pPr>
        <w:pStyle w:val="Compact"/>
        <w:numPr>
          <w:ilvl w:val="0"/>
          <w:numId w:val="1001"/>
        </w:numPr>
      </w:pPr>
      <w:r>
        <w:t xml:space="preserve">Device and equipment safety</w:t>
      </w:r>
    </w:p>
    <w:p>
      <w:pPr>
        <w:pStyle w:val="Compact"/>
        <w:numPr>
          <w:ilvl w:val="0"/>
          <w:numId w:val="1001"/>
        </w:numPr>
      </w:pPr>
      <w:r>
        <w:t xml:space="preserve">Operational safety</w:t>
      </w:r>
    </w:p>
    <w:bookmarkEnd w:id="9"/>
    <w:bookmarkStart w:id="10" w:name="Xfdf220fddc952d110941333ee5ed145a5162a17"/>
    <w:p>
      <w:pPr>
        <w:pStyle w:val="Heading3"/>
      </w:pPr>
      <w:r>
        <w:t xml:space="preserve">Figure 2. Shared process-deviation grammar</w:t>
      </w:r>
    </w:p>
    <w:p>
      <w:pPr>
        <w:pStyle w:val="FirstParagraph"/>
      </w:pPr>
      <w:r>
        <w:t xml:space="preserve">Core deviation classes:</w:t>
      </w:r>
    </w:p>
    <w:p>
      <w:pPr>
        <w:pStyle w:val="Compact"/>
        <w:numPr>
          <w:ilvl w:val="0"/>
          <w:numId w:val="1002"/>
        </w:numPr>
      </w:pPr>
      <w:r>
        <w:t xml:space="preserve">omission</w:t>
      </w:r>
    </w:p>
    <w:p>
      <w:pPr>
        <w:pStyle w:val="Compact"/>
        <w:numPr>
          <w:ilvl w:val="0"/>
          <w:numId w:val="1002"/>
        </w:numPr>
      </w:pPr>
      <w:r>
        <w:t xml:space="preserve">contradiction</w:t>
      </w:r>
    </w:p>
    <w:p>
      <w:pPr>
        <w:pStyle w:val="Compact"/>
        <w:numPr>
          <w:ilvl w:val="0"/>
          <w:numId w:val="1002"/>
        </w:numPr>
      </w:pPr>
      <w:r>
        <w:t xml:space="preserve">harmful delay</w:t>
      </w:r>
    </w:p>
    <w:p>
      <w:pPr>
        <w:pStyle w:val="Compact"/>
        <w:numPr>
          <w:ilvl w:val="0"/>
          <w:numId w:val="1002"/>
        </w:numPr>
      </w:pPr>
      <w:r>
        <w:t xml:space="preserve">sequencing mismatch</w:t>
      </w:r>
    </w:p>
    <w:p>
      <w:pPr>
        <w:pStyle w:val="Compact"/>
        <w:numPr>
          <w:ilvl w:val="0"/>
          <w:numId w:val="1002"/>
        </w:numPr>
      </w:pPr>
      <w:r>
        <w:t xml:space="preserve">closure failure</w:t>
      </w:r>
    </w:p>
    <w:bookmarkEnd w:id="10"/>
    <w:bookmarkStart w:id="11" w:name="Xdc4c1dfb3ee31e86e6fd52dc31187e2305c424c"/>
    <w:p>
      <w:pPr>
        <w:pStyle w:val="Heading3"/>
      </w:pPr>
      <w:r>
        <w:t xml:space="preserve">Figure 3. Common alert schema across domains</w:t>
      </w:r>
    </w:p>
    <w:p>
      <w:pPr>
        <w:pStyle w:val="FirstParagraph"/>
      </w:pPr>
      <w:r>
        <w:t xml:space="preserve">Required fields:</w:t>
      </w:r>
    </w:p>
    <w:p>
      <w:pPr>
        <w:pStyle w:val="Compact"/>
        <w:numPr>
          <w:ilvl w:val="0"/>
          <w:numId w:val="1003"/>
        </w:numPr>
      </w:pPr>
      <w:r>
        <w:t xml:space="preserve">why alert fired</w:t>
      </w:r>
    </w:p>
    <w:p>
      <w:pPr>
        <w:pStyle w:val="Compact"/>
        <w:numPr>
          <w:ilvl w:val="0"/>
          <w:numId w:val="1003"/>
        </w:numPr>
      </w:pPr>
      <w:r>
        <w:t xml:space="preserve">supporting evidence</w:t>
      </w:r>
    </w:p>
    <w:p>
      <w:pPr>
        <w:pStyle w:val="Compact"/>
        <w:numPr>
          <w:ilvl w:val="0"/>
          <w:numId w:val="1003"/>
        </w:numPr>
      </w:pPr>
      <w:r>
        <w:t xml:space="preserve">responsible owner</w:t>
      </w:r>
    </w:p>
    <w:p>
      <w:pPr>
        <w:pStyle w:val="Compact"/>
        <w:numPr>
          <w:ilvl w:val="0"/>
          <w:numId w:val="1003"/>
        </w:numPr>
      </w:pPr>
      <w:r>
        <w:t xml:space="preserve">deadline</w:t>
      </w:r>
    </w:p>
    <w:p>
      <w:pPr>
        <w:pStyle w:val="Compact"/>
        <w:numPr>
          <w:ilvl w:val="0"/>
          <w:numId w:val="1003"/>
        </w:numPr>
      </w:pPr>
      <w:r>
        <w:t xml:space="preserve">recommended action</w:t>
      </w:r>
    </w:p>
    <w:p>
      <w:pPr>
        <w:pStyle w:val="Compact"/>
        <w:numPr>
          <w:ilvl w:val="0"/>
          <w:numId w:val="1003"/>
        </w:numPr>
      </w:pPr>
      <w:r>
        <w:t xml:space="preserve">override policy</w:t>
      </w:r>
    </w:p>
    <w:bookmarkEnd w:id="11"/>
    <w:bookmarkEnd w:id="12"/>
    <w:bookmarkStart w:id="17" w:name="tables"/>
    <w:p>
      <w:pPr>
        <w:pStyle w:val="Heading2"/>
      </w:pPr>
      <w:r>
        <w:t xml:space="preserve">Tables</w:t>
      </w:r>
    </w:p>
    <w:bookmarkStart w:id="13" w:name="Xcbe7b9c5c5a44d25510d6bc3c6df66961686cac"/>
    <w:p>
      <w:pPr>
        <w:pStyle w:val="Heading3"/>
      </w:pPr>
      <w:r>
        <w:t xml:space="preserve">Table 1. Ten-domain taxonomy and exemplar hazards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Exemplar hazard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Medication safety</w:t>
            </w:r>
          </w:p>
        </w:tc>
        <w:tc>
          <w:tcPr/>
          <w:p>
            <w:pPr>
              <w:pStyle w:val="Compact"/>
            </w:pPr>
            <w:r>
              <w:t xml:space="preserve">contraindication, duplication, dose-adjustment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 safety</w:t>
            </w:r>
          </w:p>
        </w:tc>
        <w:tc>
          <w:tcPr/>
          <w:p>
            <w:pPr>
              <w:pStyle w:val="Compact"/>
            </w:pPr>
            <w:r>
              <w:t xml:space="preserve">missed or delayed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Procedure and surgical safety</w:t>
            </w:r>
          </w:p>
        </w:tc>
        <w:tc>
          <w:tcPr/>
          <w:p>
            <w:pPr>
              <w:pStyle w:val="Compact"/>
            </w:pPr>
            <w:r>
              <w:t xml:space="preserve">checklist deviation, wrong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Deterioration surveillance</w:t>
            </w:r>
          </w:p>
        </w:tc>
        <w:tc>
          <w:tcPr/>
          <w:p>
            <w:pPr>
              <w:pStyle w:val="Compact"/>
            </w:pPr>
            <w:r>
              <w:t xml:space="preserve">delayed escalation of worsening physiology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Infection/environmental safety</w:t>
            </w:r>
          </w:p>
        </w:tc>
        <w:tc>
          <w:tcPr/>
          <w:p>
            <w:pPr>
              <w:pStyle w:val="Compact"/>
            </w:pPr>
            <w:r>
              <w:t xml:space="preserve">isolation or contamination control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Laboratory and radiology process safety</w:t>
            </w:r>
          </w:p>
        </w:tc>
        <w:tc>
          <w:tcPr/>
          <w:p>
            <w:pPr>
              <w:pStyle w:val="Compact"/>
            </w:pPr>
            <w:r>
              <w:t xml:space="preserve">critical result not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 transition safety</w:t>
            </w:r>
          </w:p>
        </w:tc>
        <w:tc>
          <w:tcPr/>
          <w:p>
            <w:pPr>
              <w:pStyle w:val="Compact"/>
            </w:pPr>
            <w:r>
              <w:t xml:space="preserve">referral leakage, discharge follow-up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Documentation/communication safety</w:t>
            </w:r>
          </w:p>
        </w:tc>
        <w:tc>
          <w:tcPr/>
          <w:p>
            <w:pPr>
              <w:pStyle w:val="Compact"/>
            </w:pPr>
            <w:r>
              <w:t xml:space="preserve">conflicting or missing plan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Device/equipment safety</w:t>
            </w:r>
          </w:p>
        </w:tc>
        <w:tc>
          <w:tcPr/>
          <w:p>
            <w:pPr>
              <w:pStyle w:val="Compact"/>
            </w:pPr>
            <w:r>
              <w:t xml:space="preserve">alarm, device setting, or maintenance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safety</w:t>
            </w:r>
          </w:p>
        </w:tc>
        <w:tc>
          <w:tcPr/>
          <w:p>
            <w:pPr>
              <w:pStyle w:val="Compact"/>
            </w:pPr>
            <w:r>
              <w:t xml:space="preserve">staffing, throughput, handoff, logistics risk</w:t>
            </w:r>
          </w:p>
        </w:tc>
      </w:tr>
    </w:tbl>
    <w:bookmarkEnd w:id="13"/>
    <w:bookmarkStart w:id="14" w:name="X65cb29864d61259de88da0fa1cda929f3daa910"/>
    <w:p>
      <w:pPr>
        <w:pStyle w:val="Heading3"/>
      </w:pPr>
      <w:r>
        <w:t xml:space="preserve">Table 2. Process-deviation classes and examples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Deviation class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Omission</w:t>
            </w:r>
          </w:p>
        </w:tc>
        <w:tc>
          <w:tcPr/>
          <w:p>
            <w:pPr>
              <w:pStyle w:val="Compact"/>
            </w:pPr>
            <w:r>
              <w:t xml:space="preserve">missing renal dose adjustment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allergy-documented medication prescribed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Harmful delay</w:t>
            </w:r>
          </w:p>
        </w:tc>
        <w:tc>
          <w:tcPr/>
          <w:p>
            <w:pPr>
              <w:pStyle w:val="Compact"/>
            </w:pPr>
            <w:r>
              <w:t xml:space="preserve">critical result not acknowledged 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Sequencing mismatch</w:t>
            </w:r>
          </w:p>
        </w:tc>
        <w:tc>
          <w:tcPr/>
          <w:p>
            <w:pPr>
              <w:pStyle w:val="Compact"/>
            </w:pPr>
            <w:r>
              <w:t xml:space="preserve">downstream action before prerequisite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Closure failure</w:t>
            </w:r>
          </w:p>
        </w:tc>
        <w:tc>
          <w:tcPr/>
          <w:p>
            <w:pPr>
              <w:pStyle w:val="Compact"/>
            </w:pPr>
            <w:r>
              <w:t xml:space="preserve">finding acknowledged without documented resolution</w:t>
            </w:r>
          </w:p>
        </w:tc>
      </w:tr>
    </w:tbl>
    <w:bookmarkEnd w:id="14"/>
    <w:bookmarkStart w:id="15" w:name="table-3.-common-alert-schema"/>
    <w:p>
      <w:pPr>
        <w:pStyle w:val="Heading3"/>
      </w:pPr>
      <w:r>
        <w:t xml:space="preserve">Table 3. Common alert schema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explain why the alert fired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support traceability and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identify accountable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operationalize timeliness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 action</w:t>
            </w:r>
          </w:p>
        </w:tc>
        <w:tc>
          <w:tcPr/>
          <w:p>
            <w:pPr>
              <w:pStyle w:val="Compact"/>
            </w:pPr>
            <w:r>
              <w:t xml:space="preserve">guide next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policy</w:t>
            </w:r>
          </w:p>
        </w:tc>
        <w:tc>
          <w:tcPr/>
          <w:p>
            <w:pPr>
              <w:pStyle w:val="Compact"/>
            </w:pPr>
            <w:r>
              <w:t xml:space="preserve">control and document dissent</w:t>
            </w:r>
          </w:p>
        </w:tc>
      </w:tr>
    </w:tbl>
    <w:bookmarkEnd w:id="15"/>
    <w:bookmarkStart w:id="16" w:name="table-4.-cross-domain-process-metrics"/>
    <w:p>
      <w:pPr>
        <w:pStyle w:val="Heading3"/>
      </w:pPr>
      <w:r>
        <w:t xml:space="preserve">Table 4. Cross-domain process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detection</w:t>
            </w:r>
          </w:p>
        </w:tc>
        <w:tc>
          <w:tcPr/>
          <w:p>
            <w:pPr>
              <w:pStyle w:val="Compact"/>
            </w:pPr>
            <w:r>
              <w:t xml:space="preserve">assess signal timeliness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acknowledgement</w:t>
            </w:r>
          </w:p>
        </w:tc>
        <w:tc>
          <w:tcPr/>
          <w:p>
            <w:pPr>
              <w:pStyle w:val="Compact"/>
            </w:pPr>
            <w:r>
              <w:t xml:space="preserve">assess ownership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action</w:t>
            </w:r>
          </w:p>
        </w:tc>
        <w:tc>
          <w:tcPr/>
          <w:p>
            <w:pPr>
              <w:pStyle w:val="Compact"/>
            </w:pPr>
            <w:r>
              <w:t xml:space="preserve">assess workflow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Closure completion</w:t>
            </w:r>
          </w:p>
        </w:tc>
        <w:tc>
          <w:tcPr/>
          <w:p>
            <w:pPr>
              <w:pStyle w:val="Compact"/>
            </w:pPr>
            <w:r>
              <w:t xml:space="preserve">assess end-to-end reliability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rate</w:t>
            </w:r>
          </w:p>
        </w:tc>
        <w:tc>
          <w:tcPr/>
          <w:p>
            <w:pPr>
              <w:pStyle w:val="Compact"/>
            </w:pPr>
            <w:r>
              <w:t xml:space="preserve">assess burden and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No-action-after-alert rate</w:t>
            </w:r>
          </w:p>
        </w:tc>
        <w:tc>
          <w:tcPr/>
          <w:p>
            <w:pPr>
              <w:pStyle w:val="Compact"/>
            </w:pPr>
            <w:r>
              <w:t xml:space="preserve">identify ineffective signal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Harmful false-positive rate</w:t>
            </w:r>
          </w:p>
        </w:tc>
        <w:tc>
          <w:tcPr/>
          <w:p>
            <w:pPr>
              <w:pStyle w:val="Compact"/>
            </w:pPr>
            <w:r>
              <w:t xml:space="preserve">assess safety cost</w:t>
            </w:r>
          </w:p>
        </w:tc>
      </w:tr>
    </w:tbl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2026-03-07T18:11:18Z</dcterms:created>
  <dcterms:modified xsi:type="dcterms:W3CDTF">2026-03-07T18:11:18Z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