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figure-and-table-package"/>
    <w:p>
      <w:pPr>
        <w:pStyle w:val="Heading1"/>
      </w:pPr>
      <w:r>
        <w:t xml:space="preserve">Figure and Table Package</w:t>
      </w:r>
    </w:p>
    <w:bookmarkStart w:id="12" w:name="figures"/>
    <w:p>
      <w:pPr>
        <w:pStyle w:val="Heading2"/>
      </w:pPr>
      <w:r>
        <w:t xml:space="preserve">Figures</w:t>
      </w:r>
    </w:p>
    <w:bookmarkStart w:id="9" w:name="X99cadfb67df9e746b155928a4cfc1e58df8b529"/>
    <w:p>
      <w:pPr>
        <w:pStyle w:val="Heading3"/>
      </w:pPr>
      <w:r>
        <w:t xml:space="preserve">Figure 1. Governance as a runtime function</w:t>
      </w:r>
    </w:p>
    <w:p>
      <w:pPr>
        <w:pStyle w:val="FirstParagraph"/>
      </w:pPr>
      <w:r>
        <w:t xml:space="preserve">Core runtime questions:</w:t>
      </w:r>
    </w:p>
    <w:p>
      <w:pPr>
        <w:pStyle w:val="Compact"/>
        <w:numPr>
          <w:ilvl w:val="0"/>
          <w:numId w:val="1001"/>
        </w:numPr>
      </w:pPr>
      <w:r>
        <w:t xml:space="preserve">what logic is active?</w:t>
      </w:r>
    </w:p>
    <w:p>
      <w:pPr>
        <w:pStyle w:val="Compact"/>
        <w:numPr>
          <w:ilvl w:val="0"/>
          <w:numId w:val="1001"/>
        </w:numPr>
      </w:pPr>
      <w:r>
        <w:t xml:space="preserve">who approved it?</w:t>
      </w:r>
    </w:p>
    <w:p>
      <w:pPr>
        <w:pStyle w:val="Compact"/>
        <w:numPr>
          <w:ilvl w:val="0"/>
          <w:numId w:val="1001"/>
        </w:numPr>
      </w:pPr>
      <w:r>
        <w:t xml:space="preserve">what evidence supported approval?</w:t>
      </w:r>
    </w:p>
    <w:p>
      <w:pPr>
        <w:pStyle w:val="Compact"/>
        <w:numPr>
          <w:ilvl w:val="0"/>
          <w:numId w:val="1001"/>
        </w:numPr>
      </w:pPr>
      <w:r>
        <w:t xml:space="preserve">what alerts and overrides occurred under it?</w:t>
      </w:r>
    </w:p>
    <w:p>
      <w:pPr>
        <w:pStyle w:val="Compact"/>
        <w:numPr>
          <w:ilvl w:val="0"/>
          <w:numId w:val="1001"/>
        </w:numPr>
      </w:pPr>
      <w:r>
        <w:t xml:space="preserve">can it be rolled back immediately?</w:t>
      </w:r>
    </w:p>
    <w:bookmarkEnd w:id="9"/>
    <w:bookmarkStart w:id="10" w:name="figure-2.-policy-lifecycle-model"/>
    <w:p>
      <w:pPr>
        <w:pStyle w:val="Heading3"/>
      </w:pPr>
      <w:r>
        <w:t xml:space="preserve">Figure 2. Policy lifecycle model</w:t>
      </w:r>
    </w:p>
    <w:p>
      <w:pPr>
        <w:pStyle w:val="FirstParagraph"/>
      </w:pPr>
      <w:r>
        <w:t xml:space="preserve">States:</w:t>
      </w:r>
    </w:p>
    <w:p>
      <w:pPr>
        <w:pStyle w:val="Compact"/>
        <w:numPr>
          <w:ilvl w:val="0"/>
          <w:numId w:val="1002"/>
        </w:numPr>
      </w:pPr>
      <w:r>
        <w:t xml:space="preserve">draft</w:t>
      </w:r>
    </w:p>
    <w:p>
      <w:pPr>
        <w:pStyle w:val="Compact"/>
        <w:numPr>
          <w:ilvl w:val="0"/>
          <w:numId w:val="1002"/>
        </w:numPr>
      </w:pPr>
      <w:r>
        <w:t xml:space="preserve">pending approval</w:t>
      </w:r>
    </w:p>
    <w:p>
      <w:pPr>
        <w:pStyle w:val="Compact"/>
        <w:numPr>
          <w:ilvl w:val="0"/>
          <w:numId w:val="1002"/>
        </w:numPr>
      </w:pPr>
      <w:r>
        <w:t xml:space="preserve">approved active</w:t>
      </w:r>
    </w:p>
    <w:p>
      <w:pPr>
        <w:pStyle w:val="Compact"/>
        <w:numPr>
          <w:ilvl w:val="0"/>
          <w:numId w:val="1002"/>
        </w:numPr>
      </w:pPr>
      <w:r>
        <w:t xml:space="preserve">approved inactive or superseded</w:t>
      </w:r>
    </w:p>
    <w:p>
      <w:pPr>
        <w:pStyle w:val="Compact"/>
        <w:numPr>
          <w:ilvl w:val="0"/>
          <w:numId w:val="1002"/>
        </w:numPr>
      </w:pPr>
      <w:r>
        <w:t xml:space="preserve">retired</w:t>
      </w:r>
    </w:p>
    <w:bookmarkEnd w:id="10"/>
    <w:bookmarkStart w:id="11" w:name="figure-3.-four-stage-validation-pathway"/>
    <w:p>
      <w:pPr>
        <w:pStyle w:val="Heading3"/>
      </w:pPr>
      <w:r>
        <w:t xml:space="preserve">Figure 3. Four-stage validation pathway</w:t>
      </w:r>
    </w:p>
    <w:p>
      <w:pPr>
        <w:pStyle w:val="FirstParagraph"/>
      </w:pPr>
      <w:r>
        <w:t xml:space="preserve">Stages:</w:t>
      </w:r>
    </w:p>
    <w:p>
      <w:pPr>
        <w:pStyle w:val="Compact"/>
        <w:numPr>
          <w:ilvl w:val="0"/>
          <w:numId w:val="1003"/>
        </w:numPr>
      </w:pPr>
      <w:r>
        <w:t xml:space="preserve">retrospective benchmarking</w:t>
      </w:r>
    </w:p>
    <w:p>
      <w:pPr>
        <w:pStyle w:val="Compact"/>
        <w:numPr>
          <w:ilvl w:val="0"/>
          <w:numId w:val="1003"/>
        </w:numPr>
      </w:pPr>
      <w:r>
        <w:t xml:space="preserve">silent prospective validation</w:t>
      </w:r>
    </w:p>
    <w:p>
      <w:pPr>
        <w:pStyle w:val="Compact"/>
        <w:numPr>
          <w:ilvl w:val="0"/>
          <w:numId w:val="1003"/>
        </w:numPr>
      </w:pPr>
      <w:r>
        <w:t xml:space="preserve">controlled live pilot</w:t>
      </w:r>
    </w:p>
    <w:p>
      <w:pPr>
        <w:pStyle w:val="Compact"/>
        <w:numPr>
          <w:ilvl w:val="0"/>
          <w:numId w:val="1003"/>
        </w:numPr>
      </w:pPr>
      <w:r>
        <w:t xml:space="preserve">conditional scale-up</w:t>
      </w:r>
    </w:p>
    <w:bookmarkEnd w:id="11"/>
    <w:bookmarkEnd w:id="12"/>
    <w:bookmarkStart w:id="17" w:name="tables"/>
    <w:p>
      <w:pPr>
        <w:pStyle w:val="Heading2"/>
      </w:pPr>
      <w:r>
        <w:t xml:space="preserve">Tables</w:t>
      </w:r>
    </w:p>
    <w:bookmarkStart w:id="13" w:name="X6c48a5e6535b01b9d54630cc344100a90873c4c"/>
    <w:p>
      <w:pPr>
        <w:pStyle w:val="Heading3"/>
      </w:pPr>
      <w:r>
        <w:t xml:space="preserve">Table 1. Minimum deployable safety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Evidence-bearing alerts</w:t>
            </w:r>
          </w:p>
        </w:tc>
        <w:tc>
          <w:tcPr/>
          <w:p>
            <w:pPr>
              <w:pStyle w:val="Compact"/>
            </w:pPr>
            <w:r>
              <w:t xml:space="preserve">reduce opaque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transparency</w:t>
            </w:r>
          </w:p>
        </w:tc>
        <w:tc>
          <w:tcPr/>
          <w:p>
            <w:pPr>
              <w:pStyle w:val="Compact"/>
            </w:pPr>
            <w:r>
              <w:t xml:space="preserve">support review and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plus deadline</w:t>
            </w:r>
          </w:p>
        </w:tc>
        <w:tc>
          <w:tcPr/>
          <w:p>
            <w:pPr>
              <w:pStyle w:val="Compact"/>
            </w:pPr>
            <w:r>
              <w:t xml:space="preserve">ensure accountable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and escalation state</w:t>
            </w:r>
          </w:p>
        </w:tc>
        <w:tc>
          <w:tcPr/>
          <w:p>
            <w:pPr>
              <w:pStyle w:val="Compact"/>
            </w:pPr>
            <w:r>
              <w:t xml:space="preserve">track unresolved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capture</w:t>
            </w:r>
          </w:p>
        </w:tc>
        <w:tc>
          <w:tcPr/>
          <w:p>
            <w:pPr>
              <w:pStyle w:val="Compact"/>
            </w:pPr>
            <w:r>
              <w:t xml:space="preserve">preserve dissent and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Versioned activation</w:t>
            </w:r>
          </w:p>
        </w:tc>
        <w:tc>
          <w:tcPr/>
          <w:p>
            <w:pPr>
              <w:pStyle w:val="Compact"/>
            </w:pPr>
            <w:r>
              <w:t xml:space="preserve">support change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capability</w:t>
            </w:r>
          </w:p>
        </w:tc>
        <w:tc>
          <w:tcPr/>
          <w:p>
            <w:pPr>
              <w:pStyle w:val="Compact"/>
            </w:pPr>
            <w:r>
              <w:t xml:space="preserve">enable rapid containment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artifacts</w:t>
            </w:r>
          </w:p>
        </w:tc>
        <w:tc>
          <w:tcPr/>
          <w:p>
            <w:pPr>
              <w:pStyle w:val="Compact"/>
            </w:pPr>
            <w:r>
              <w:t xml:space="preserve">support release decisions</w:t>
            </w:r>
          </w:p>
        </w:tc>
      </w:tr>
    </w:tbl>
    <w:bookmarkEnd w:id="13"/>
    <w:bookmarkStart w:id="14" w:name="table-2.-policy-lifecycle-states"/>
    <w:p>
      <w:pPr>
        <w:pStyle w:val="Heading3"/>
      </w:pPr>
      <w:r>
        <w:t xml:space="preserve">Table 2. Policy lifecycle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under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approval</w:t>
            </w:r>
          </w:p>
        </w:tc>
        <w:tc>
          <w:tcPr/>
          <w:p>
            <w:pPr>
              <w:pStyle w:val="Compact"/>
            </w:pPr>
            <w:r>
              <w:t xml:space="preserve">awaiting governance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active</w:t>
            </w:r>
          </w:p>
        </w:tc>
        <w:tc>
          <w:tcPr/>
          <w:p>
            <w:pPr>
              <w:pStyle w:val="Compact"/>
            </w:pPr>
            <w:r>
              <w:t xml:space="preserve">live in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inactive or superseded</w:t>
            </w:r>
          </w:p>
        </w:tc>
        <w:tc>
          <w:tcPr/>
          <w:p>
            <w:pPr>
              <w:pStyle w:val="Compact"/>
            </w:pPr>
            <w:r>
              <w:t xml:space="preserve">retained, not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Retired</w:t>
            </w:r>
          </w:p>
        </w:tc>
        <w:tc>
          <w:tcPr/>
          <w:p>
            <w:pPr>
              <w:pStyle w:val="Compact"/>
            </w:pPr>
            <w:r>
              <w:t xml:space="preserve">removed from future use</w:t>
            </w:r>
          </w:p>
        </w:tc>
      </w:tr>
    </w:tbl>
    <w:bookmarkEnd w:id="14"/>
    <w:bookmarkStart w:id="15" w:name="table-3.-validation-stages-and-aims"/>
    <w:p>
      <w:pPr>
        <w:pStyle w:val="Heading3"/>
      </w:pPr>
      <w:r>
        <w:t xml:space="preserve">Table 3. Validation stages and aims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Retrospective benchmarking</w:t>
            </w:r>
          </w:p>
        </w:tc>
        <w:tc>
          <w:tcPr/>
          <w:p>
            <w:pPr>
              <w:pStyle w:val="Compact"/>
            </w:pPr>
            <w:r>
              <w:t xml:space="preserve">estimate fidelity and obvious failure modes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prospective mode</w:t>
            </w:r>
          </w:p>
        </w:tc>
        <w:tc>
          <w:tcPr/>
          <w:p>
            <w:pPr>
              <w:pStyle w:val="Compact"/>
            </w:pPr>
            <w:r>
              <w:t xml:space="preserve">quantify burden and timing without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Controlled live pilot</w:t>
            </w:r>
          </w:p>
        </w:tc>
        <w:tc>
          <w:tcPr/>
          <w:p>
            <w:pPr>
              <w:pStyle w:val="Compact"/>
            </w:pPr>
            <w:r>
              <w:t xml:space="preserve">test bounded live use with oversight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scale-up</w:t>
            </w:r>
          </w:p>
        </w:tc>
        <w:tc>
          <w:tcPr/>
          <w:p>
            <w:pPr>
              <w:pStyle w:val="Compact"/>
            </w:pPr>
            <w:r>
              <w:t xml:space="preserve">expand only after stability and governance maturity</w:t>
            </w:r>
          </w:p>
        </w:tc>
      </w:tr>
    </w:tbl>
    <w:bookmarkEnd w:id="15"/>
    <w:bookmarkStart w:id="16" w:name="table-4.-governance-metrics"/>
    <w:p>
      <w:pPr>
        <w:pStyle w:val="Heading3"/>
      </w:pPr>
      <w:r>
        <w:t xml:space="preserve">Table 4. Governance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Governance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Harmful false-positive rate</w:t>
            </w:r>
          </w:p>
        </w:tc>
        <w:tc>
          <w:tcPr/>
          <w:p>
            <w:pPr>
              <w:pStyle w:val="Compact"/>
            </w:pPr>
            <w:r>
              <w:t xml:space="preserve">detect unsafe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No-action-after-alert rate</w:t>
            </w:r>
          </w:p>
        </w:tc>
        <w:tc>
          <w:tcPr/>
          <w:p>
            <w:pPr>
              <w:pStyle w:val="Compact"/>
            </w:pPr>
            <w:r>
              <w:t xml:space="preserve">detect low-value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rate and rationale mix</w:t>
            </w:r>
          </w:p>
        </w:tc>
        <w:tc>
          <w:tcPr/>
          <w:p>
            <w:pPr>
              <w:pStyle w:val="Compact"/>
            </w:pPr>
            <w:r>
              <w:t xml:space="preserve">assess trust and burden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Closure completeness</w:t>
            </w:r>
          </w:p>
        </w:tc>
        <w:tc>
          <w:tcPr/>
          <w:p>
            <w:pPr>
              <w:pStyle w:val="Compact"/>
            </w:pPr>
            <w:r>
              <w:t xml:space="preserve">assess end-to-end accountability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latency</w:t>
            </w:r>
          </w:p>
        </w:tc>
        <w:tc>
          <w:tcPr/>
          <w:p>
            <w:pPr>
              <w:pStyle w:val="Compact"/>
            </w:pPr>
            <w:r>
              <w:t xml:space="preserve">assess response reliability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burden by role</w:t>
            </w:r>
          </w:p>
        </w:tc>
        <w:tc>
          <w:tcPr/>
          <w:p>
            <w:pPr>
              <w:pStyle w:val="Compact"/>
            </w:pPr>
            <w:r>
              <w:t xml:space="preserve">detect inequitable workflow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impact after updates</w:t>
            </w:r>
          </w:p>
        </w:tc>
        <w:tc>
          <w:tcPr/>
          <w:p>
            <w:pPr>
              <w:pStyle w:val="Compact"/>
            </w:pPr>
            <w:r>
              <w:t xml:space="preserve">assess release safety</w:t>
            </w:r>
          </w:p>
        </w:tc>
      </w:tr>
    </w:tbl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2026-03-07T18:11:18Z</dcterms:created>
  <dcterms:modified xsi:type="dcterms:W3CDTF">2026-03-07T18:11:18Z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