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“A governance-first validation framework for human-governed patient safety intelligence platforms”</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this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The paper presents a governance-first validation framework for patient safety intelligence systems derived from the SentinelCare blueprint and aligned to current patient safety strategy, FDA CDS guidance, Good Machine Learning Practice principles, ONC transparency expectations, and real-world clinical prediction validation literature. The manuscript addresses a central informatics problem: how safety-oriented digital systems should be governed, validated, and adapted as live operational interventions rather than as isolated predictive artifacts.</w:t>
      </w:r>
    </w:p>
    <w:p>
      <w:pPr>
        <w:pStyle w:val="BodyText"/>
      </w:pPr>
      <w:r>
        <w:t xml:space="preserve">The principal contribution is a runtime governance model comprising explicit policy lifecycle states, human-review requirements, staged validation phases, minimum deployable safety controls, and operational governance metrics. This framework is directly relevant to CDS oversight, patient safety operations, and trustworthy deployment of high-impact clinical intelligence systems.</w:t>
      </w:r>
    </w:p>
    <w:p>
      <w:pPr>
        <w:pStyle w:val="BodyText"/>
      </w:pPr>
      <w:r>
        <w:t xml:space="preserve">This work is original, has not been published previously, and is not under consideration elsewhere. All authors have reviewed and approved the manuscript and will disclose funding, conflicts, prior presentations, and AI-use details as required.</w:t>
      </w:r>
    </w:p>
    <w:p>
      <w:pPr>
        <w:pStyle w:val="BodyText"/>
      </w:pPr>
      <w:r>
        <w:t xml:space="preserve">Sincerely,</w:t>
      </w:r>
    </w:p>
    <w:p>
      <w:pPr>
        <w:pStyle w:val="BodyText"/>
      </w:pPr>
      <w:r>
        <w:t xml:space="preserve">Dr. Siddalingaiah H 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2026-03-07T18:16:29Z</dcterms:created>
  <dcterms:modified xsi:type="dcterms:W3CDTF">2026-03-07T18:16:29Z</dcterms:modified>
</cp:coreProperties>
</file>

<file path=docProps/custom.xml><?xml version="1.0" encoding="utf-8"?>
<Properties xmlns="http://schemas.openxmlformats.org/officeDocument/2006/custom-properties" xmlns:vt="http://schemas.openxmlformats.org/officeDocument/2006/docPropsVTypes"/>
</file>