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Editor</w:t>
      </w:r>
      <w:r>
        <w:t xml:space="preserve"> </w:t>
      </w:r>
      <w:r>
        <w:t xml:space="preserve">BMC Health Services Research</w:t>
      </w:r>
    </w:p>
    <w:p>
      <w:pPr>
        <w:pStyle w:val="BodyText"/>
      </w:pPr>
      <w:r>
        <w:t xml:space="preserve">Re: Submission of</w:t>
      </w:r>
      <w:r>
        <w:t xml:space="preserve"> </w:t>
      </w:r>
      <w:r>
        <w:t xml:space="preserve">“A federated national surveillance framework for medical errors and patient safety in India”</w:t>
      </w:r>
    </w:p>
    <w:p>
      <w:pPr>
        <w:pStyle w:val="BodyText"/>
      </w:pPr>
      <w:r>
        <w:t xml:space="preserve">This manuscript presents a governance-first, interoperability-ready national surveillance framework for medical errors and patient safety in India. It is positioned as a health-systems design and implementation paper, not as a completed national rollout claim. The paper defines a federated facility-district-state-national model, minimum dataset, signal and investigation workflow, and integration pathway with India’s evolving digital health infrastructure.</w:t>
      </w:r>
    </w:p>
    <w:p>
      <w:pPr>
        <w:pStyle w:val="BodyText"/>
      </w:pPr>
      <w:r>
        <w:t xml:space="preserve">The manuscript fits BMC Health Services Research because it addresses health-system design, service improvement, quality and safety, implementation feasibility, and national policy relevance.</w:t>
      </w:r>
    </w:p>
    <w:p>
      <w:pPr>
        <w:pStyle w:val="BodyText"/>
      </w:pPr>
      <w:r>
        <w:t xml:space="preserve">The work is original, has not been published previously, and is not under consideration elsewhere.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2026-03-07T18:48:10Z</dcterms:created>
  <dcterms:modified xsi:type="dcterms:W3CDTF">2026-03-07T18:48:10Z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